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64" w:rsidRDefault="004E3064">
      <w:pPr>
        <w:pStyle w:val="Heading2"/>
        <w:spacing w:after="0"/>
      </w:pPr>
    </w:p>
    <w:p w:rsidR="004E3064" w:rsidRDefault="004E3064">
      <w:pPr>
        <w:pStyle w:val="Heading2"/>
        <w:spacing w:after="0"/>
      </w:pPr>
      <w:r>
        <w:t>SOP 5:  Case Report Forms</w:t>
      </w:r>
    </w:p>
    <w:p w:rsidR="004E3064" w:rsidRDefault="004E3064">
      <w:pPr>
        <w:pStyle w:val="P1-StandPara"/>
      </w:pPr>
    </w:p>
    <w:p w:rsidR="004E3064" w:rsidRDefault="004E3064">
      <w:pPr>
        <w:pStyle w:val="Heading3"/>
        <w:spacing w:after="120"/>
        <w:rPr>
          <w:rFonts w:eastAsia="Batang"/>
        </w:rPr>
      </w:pPr>
      <w:r>
        <w:t>Overview:</w:t>
      </w:r>
    </w:p>
    <w:p w:rsidR="00610444" w:rsidRDefault="004E3064">
      <w:pPr>
        <w:pStyle w:val="P1-StandPara"/>
        <w:ind w:left="720" w:firstLine="0"/>
        <w:rPr>
          <w:rFonts w:eastAsia="Batang"/>
        </w:rPr>
      </w:pPr>
      <w:r>
        <w:rPr>
          <w:rFonts w:eastAsia="Batang"/>
        </w:rPr>
        <w:t xml:space="preserve">Case Report Forms (CRFs) are customized hard copy or electronic documents used to collect </w:t>
      </w:r>
      <w:r w:rsidR="003736F3">
        <w:rPr>
          <w:rFonts w:eastAsia="Batang"/>
        </w:rPr>
        <w:t xml:space="preserve">and record </w:t>
      </w:r>
      <w:r>
        <w:rPr>
          <w:rFonts w:eastAsia="Batang"/>
        </w:rPr>
        <w:t xml:space="preserve">the </w:t>
      </w:r>
      <w:r w:rsidR="00CD5B7C">
        <w:rPr>
          <w:rFonts w:eastAsia="Batang"/>
        </w:rPr>
        <w:t xml:space="preserve">data </w:t>
      </w:r>
      <w:r>
        <w:rPr>
          <w:rFonts w:eastAsia="Batang"/>
        </w:rPr>
        <w:t xml:space="preserve">required </w:t>
      </w:r>
      <w:r w:rsidR="00CD5B7C">
        <w:rPr>
          <w:rFonts w:eastAsia="Batang"/>
        </w:rPr>
        <w:t xml:space="preserve">to answer the research question(s) </w:t>
      </w:r>
      <w:r>
        <w:rPr>
          <w:rFonts w:eastAsia="Batang"/>
        </w:rPr>
        <w:t xml:space="preserve">for a </w:t>
      </w:r>
      <w:r w:rsidR="00610444">
        <w:rPr>
          <w:rFonts w:eastAsia="Batang"/>
        </w:rPr>
        <w:t xml:space="preserve">specific </w:t>
      </w:r>
      <w:r>
        <w:rPr>
          <w:rFonts w:eastAsia="Batang"/>
        </w:rPr>
        <w:t xml:space="preserve">protocol. </w:t>
      </w:r>
      <w:r w:rsidR="00610444" w:rsidRPr="00610444">
        <w:rPr>
          <w:rFonts w:eastAsia="Batang"/>
        </w:rPr>
        <w:t>The System Variable Attribute Report (SVAR)</w:t>
      </w:r>
      <w:r w:rsidR="009239CE">
        <w:rPr>
          <w:rFonts w:eastAsia="Batang"/>
        </w:rPr>
        <w:t xml:space="preserve"> is a customized workbook that</w:t>
      </w:r>
      <w:r w:rsidR="00610444" w:rsidRPr="00610444">
        <w:rPr>
          <w:rFonts w:eastAsia="Batang"/>
        </w:rPr>
        <w:t xml:space="preserve"> </w:t>
      </w:r>
      <w:r w:rsidR="00610444">
        <w:rPr>
          <w:rFonts w:eastAsia="Batang"/>
        </w:rPr>
        <w:t>may be used in lieu of CRFs to document</w:t>
      </w:r>
      <w:r w:rsidR="00610444" w:rsidRPr="00610444">
        <w:rPr>
          <w:rFonts w:eastAsia="Batang"/>
        </w:rPr>
        <w:t xml:space="preserve"> all questions and data elements </w:t>
      </w:r>
      <w:r w:rsidR="00CD5B7C">
        <w:t>required</w:t>
      </w:r>
      <w:r w:rsidR="003175D2" w:rsidRPr="003175D2">
        <w:t xml:space="preserve"> </w:t>
      </w:r>
      <w:r w:rsidR="00610444" w:rsidRPr="00610444">
        <w:rPr>
          <w:rFonts w:eastAsia="Batang"/>
        </w:rPr>
        <w:t xml:space="preserve">for a specific protocol. </w:t>
      </w:r>
    </w:p>
    <w:p w:rsidR="004E3064" w:rsidRDefault="004E3064">
      <w:pPr>
        <w:pStyle w:val="P1-StandPara"/>
        <w:ind w:left="720" w:firstLine="0"/>
        <w:rPr>
          <w:rFonts w:eastAsia="Batang"/>
        </w:rPr>
      </w:pPr>
      <w:r>
        <w:rPr>
          <w:rFonts w:eastAsia="Batang"/>
        </w:rPr>
        <w:t xml:space="preserve">The CRF documents </w:t>
      </w:r>
      <w:r w:rsidR="003175D2">
        <w:rPr>
          <w:rFonts w:eastAsia="Batang"/>
        </w:rPr>
        <w:t xml:space="preserve">and SVAR </w:t>
      </w:r>
      <w:r>
        <w:rPr>
          <w:rFonts w:eastAsia="Batang"/>
        </w:rPr>
        <w:t xml:space="preserve">are used to collect data in a consistent manner to assure quality, completeness, and accuracy of the final data sets, and to ensure that data collection is done in compliance with Good Clinical Practice, the standards for NCI Common Data Elements (CDEs), and federal regulations including but not limited to 21 CFR Part 11 and the Health Insurance Portability and Accountability Act (HIPAA). </w:t>
      </w:r>
    </w:p>
    <w:p w:rsidR="004E3064" w:rsidRDefault="004E3064">
      <w:pPr>
        <w:pStyle w:val="P1-StandPara"/>
        <w:spacing w:line="240" w:lineRule="auto"/>
        <w:rPr>
          <w:rFonts w:eastAsia="Batang"/>
        </w:rPr>
      </w:pPr>
    </w:p>
    <w:p w:rsidR="003175D2" w:rsidRDefault="003175D2">
      <w:pPr>
        <w:pStyle w:val="P1-StandPara"/>
        <w:spacing w:line="240" w:lineRule="auto"/>
      </w:pPr>
    </w:p>
    <w:p w:rsidR="004E3064" w:rsidRDefault="004E3064">
      <w:pPr>
        <w:pStyle w:val="Heading3"/>
        <w:spacing w:after="120"/>
      </w:pPr>
      <w:r>
        <w:t xml:space="preserve">Responsibilities: CRF </w:t>
      </w:r>
      <w:r w:rsidR="009239CE">
        <w:t xml:space="preserve">and SVAR </w:t>
      </w:r>
      <w:r>
        <w:t>Development</w:t>
      </w:r>
    </w:p>
    <w:p w:rsidR="004E3064" w:rsidRDefault="004E3064">
      <w:pPr>
        <w:pStyle w:val="P1-StandPara"/>
        <w:ind w:firstLine="720"/>
      </w:pPr>
      <w:r>
        <w:t xml:space="preserve">The CLO Investigator, CLO Site Coordinator, or designee will:  </w:t>
      </w:r>
    </w:p>
    <w:p w:rsidR="004E3064" w:rsidRDefault="004E3064">
      <w:pPr>
        <w:pStyle w:val="P1-StandPara"/>
        <w:numPr>
          <w:ilvl w:val="1"/>
          <w:numId w:val="2"/>
        </w:numPr>
        <w:jc w:val="left"/>
      </w:pPr>
      <w:r>
        <w:t xml:space="preserve">Develop a CRF set or alternative data collection </w:t>
      </w:r>
      <w:r w:rsidR="00440E38">
        <w:t xml:space="preserve">tool </w:t>
      </w:r>
      <w:r>
        <w:t xml:space="preserve">for each new protocol submission that </w:t>
      </w:r>
      <w:r w:rsidR="00530191">
        <w:t>specifies</w:t>
      </w:r>
      <w:r>
        <w:t xml:space="preserve"> the data to be collected during the study.  </w:t>
      </w:r>
    </w:p>
    <w:p w:rsidR="004E3064" w:rsidRDefault="004E3064">
      <w:pPr>
        <w:pStyle w:val="P1-StandPara"/>
        <w:numPr>
          <w:ilvl w:val="2"/>
          <w:numId w:val="2"/>
        </w:numPr>
      </w:pPr>
      <w:r>
        <w:t xml:space="preserve">CRF set:  </w:t>
      </w:r>
      <w:r>
        <w:rPr>
          <w:rFonts w:eastAsia="Batang"/>
        </w:rPr>
        <w:t xml:space="preserve">A set of </w:t>
      </w:r>
      <w:hyperlink r:id="rId8" w:history="1">
        <w:r w:rsidRPr="00D105FA">
          <w:rPr>
            <w:rStyle w:val="Hyperlink"/>
            <w:rFonts w:eastAsia="Batang"/>
          </w:rPr>
          <w:t>templ</w:t>
        </w:r>
        <w:r w:rsidRPr="00D105FA">
          <w:rPr>
            <w:rStyle w:val="Hyperlink"/>
            <w:rFonts w:eastAsia="Batang"/>
          </w:rPr>
          <w:t>a</w:t>
        </w:r>
        <w:r w:rsidRPr="00D105FA">
          <w:rPr>
            <w:rStyle w:val="Hyperlink"/>
            <w:rFonts w:eastAsia="Batang"/>
          </w:rPr>
          <w:t>t</w:t>
        </w:r>
        <w:r w:rsidRPr="00D105FA">
          <w:rPr>
            <w:rStyle w:val="Hyperlink"/>
            <w:rFonts w:eastAsia="Batang"/>
          </w:rPr>
          <w:t>e</w:t>
        </w:r>
        <w:r w:rsidRPr="00D105FA">
          <w:rPr>
            <w:rStyle w:val="Hyperlink"/>
            <w:rFonts w:eastAsia="Batang"/>
          </w:rPr>
          <w:t xml:space="preserve"> C</w:t>
        </w:r>
        <w:r w:rsidRPr="00D105FA">
          <w:rPr>
            <w:rStyle w:val="Hyperlink"/>
            <w:rFonts w:eastAsia="Batang"/>
          </w:rPr>
          <w:t>R</w:t>
        </w:r>
        <w:r w:rsidRPr="00D105FA">
          <w:rPr>
            <w:rStyle w:val="Hyperlink"/>
            <w:rFonts w:eastAsia="Batang"/>
          </w:rPr>
          <w:t>Fs</w:t>
        </w:r>
      </w:hyperlink>
      <w:r>
        <w:rPr>
          <w:rFonts w:eastAsia="Batang"/>
        </w:rPr>
        <w:t xml:space="preserve"> for Consortia 2012 studies </w:t>
      </w:r>
      <w:r w:rsidR="00526B5E">
        <w:rPr>
          <w:rFonts w:eastAsia="Batang"/>
        </w:rPr>
        <w:t xml:space="preserve">and </w:t>
      </w:r>
      <w:hyperlink r:id="rId9" w:history="1">
        <w:r w:rsidR="00526B5E" w:rsidRPr="00526B5E">
          <w:rPr>
            <w:rStyle w:val="Hyperlink"/>
            <w:rFonts w:eastAsia="Batang"/>
          </w:rPr>
          <w:t>Gu</w:t>
        </w:r>
        <w:r w:rsidR="00526B5E" w:rsidRPr="00526B5E">
          <w:rPr>
            <w:rStyle w:val="Hyperlink"/>
            <w:rFonts w:eastAsia="Batang"/>
          </w:rPr>
          <w:t>i</w:t>
        </w:r>
        <w:r w:rsidR="00526B5E" w:rsidRPr="00526B5E">
          <w:rPr>
            <w:rStyle w:val="Hyperlink"/>
            <w:rFonts w:eastAsia="Batang"/>
          </w:rPr>
          <w:t>deli</w:t>
        </w:r>
        <w:r w:rsidR="00526B5E" w:rsidRPr="00526B5E">
          <w:rPr>
            <w:rStyle w:val="Hyperlink"/>
            <w:rFonts w:eastAsia="Batang"/>
          </w:rPr>
          <w:t>n</w:t>
        </w:r>
        <w:r w:rsidR="00526B5E" w:rsidRPr="00526B5E">
          <w:rPr>
            <w:rStyle w:val="Hyperlink"/>
            <w:rFonts w:eastAsia="Batang"/>
          </w:rPr>
          <w:t>es</w:t>
        </w:r>
      </w:hyperlink>
      <w:r w:rsidR="00526B5E">
        <w:rPr>
          <w:rFonts w:eastAsia="Batang"/>
        </w:rPr>
        <w:t xml:space="preserve"> for use of the templates </w:t>
      </w:r>
      <w:r>
        <w:rPr>
          <w:rFonts w:eastAsia="Batang"/>
        </w:rPr>
        <w:t>are posted on the DCP website</w:t>
      </w:r>
      <w:r w:rsidR="005E484C">
        <w:rPr>
          <w:rFonts w:eastAsia="Batang"/>
        </w:rPr>
        <w:t xml:space="preserve"> </w:t>
      </w:r>
      <w:r w:rsidR="00BF76A5">
        <w:rPr>
          <w:rFonts w:eastAsia="Batang"/>
        </w:rPr>
        <w:t>(</w:t>
      </w:r>
      <w:r w:rsidR="005E484C">
        <w:rPr>
          <w:rFonts w:eastAsia="Batang"/>
        </w:rPr>
        <w:t xml:space="preserve">see </w:t>
      </w:r>
      <w:r w:rsidR="005E484C" w:rsidRPr="005E484C">
        <w:rPr>
          <w:rFonts w:eastAsia="Batang"/>
          <w:i/>
          <w:iCs/>
        </w:rPr>
        <w:t>Case Report Forms</w:t>
      </w:r>
      <w:r w:rsidR="005E484C">
        <w:rPr>
          <w:rFonts w:eastAsia="Batang"/>
        </w:rPr>
        <w:t xml:space="preserve"> </w:t>
      </w:r>
      <w:r w:rsidR="005E484C" w:rsidRPr="005E484C">
        <w:rPr>
          <w:rFonts w:eastAsia="Batang"/>
          <w:i/>
          <w:iCs/>
        </w:rPr>
        <w:t>and SVAR Template</w:t>
      </w:r>
      <w:r w:rsidR="005E484C">
        <w:rPr>
          <w:rFonts w:eastAsia="Batang"/>
        </w:rPr>
        <w:t xml:space="preserve"> under the Conducting tab</w:t>
      </w:r>
      <w:r w:rsidR="00BF76A5">
        <w:rPr>
          <w:rFonts w:eastAsia="Batang"/>
        </w:rPr>
        <w:t>)</w:t>
      </w:r>
      <w:r>
        <w:rPr>
          <w:rFonts w:eastAsia="Batang"/>
        </w:rPr>
        <w:t>.  These templates may be customized for each protocol, or institutional CRF templates may be used in lieu of the DCP-provided templates to create the CRF set for the protocol.</w:t>
      </w:r>
      <w:r w:rsidR="00526B5E">
        <w:rPr>
          <w:rFonts w:eastAsia="Batang"/>
        </w:rPr>
        <w:t xml:space="preserve">  </w:t>
      </w:r>
    </w:p>
    <w:p w:rsidR="001A6DD2" w:rsidRDefault="001A6DD2" w:rsidP="001A6DD2">
      <w:pPr>
        <w:pStyle w:val="P1-StandPara"/>
        <w:numPr>
          <w:ilvl w:val="2"/>
          <w:numId w:val="2"/>
        </w:numPr>
      </w:pPr>
      <w:r>
        <w:t>System Variable and Attribute Report (SVAR</w:t>
      </w:r>
      <w:r w:rsidR="009E1343">
        <w:t xml:space="preserve">):  </w:t>
      </w:r>
      <w:r w:rsidR="0031217B">
        <w:t>A SVAR template</w:t>
      </w:r>
      <w:r w:rsidR="00526B5E">
        <w:t>,</w:t>
      </w:r>
      <w:r w:rsidR="0031217B">
        <w:t xml:space="preserve"> </w:t>
      </w:r>
      <w:r w:rsidR="00526B5E">
        <w:t xml:space="preserve">including instructions for use of the SVAR, </w:t>
      </w:r>
      <w:r w:rsidR="0031217B">
        <w:t>is posted on the DCP website</w:t>
      </w:r>
      <w:r w:rsidR="005E484C">
        <w:t xml:space="preserve"> </w:t>
      </w:r>
      <w:r w:rsidR="005E484C">
        <w:rPr>
          <w:rFonts w:eastAsia="Batang"/>
        </w:rPr>
        <w:t xml:space="preserve">(see </w:t>
      </w:r>
      <w:r w:rsidR="005E484C" w:rsidRPr="005E484C">
        <w:rPr>
          <w:rFonts w:eastAsia="Batang"/>
          <w:i/>
          <w:iCs/>
        </w:rPr>
        <w:t>Case Report Forms</w:t>
      </w:r>
      <w:r w:rsidR="005E484C">
        <w:rPr>
          <w:rFonts w:eastAsia="Batang"/>
        </w:rPr>
        <w:t xml:space="preserve"> </w:t>
      </w:r>
      <w:r w:rsidR="005E484C" w:rsidRPr="005E484C">
        <w:rPr>
          <w:rFonts w:eastAsia="Batang"/>
          <w:i/>
          <w:iCs/>
        </w:rPr>
        <w:t>and SVAR Template</w:t>
      </w:r>
      <w:r w:rsidR="005E484C">
        <w:rPr>
          <w:rFonts w:eastAsia="Batang"/>
        </w:rPr>
        <w:t xml:space="preserve"> under the Conducting tab). </w:t>
      </w:r>
      <w:r w:rsidR="0073049E">
        <w:t>The SVAR</w:t>
      </w:r>
      <w:r>
        <w:t xml:space="preserve"> should be submitted in </w:t>
      </w:r>
      <w:r w:rsidR="00960F4F">
        <w:t>spreadsheet</w:t>
      </w:r>
      <w:r w:rsidR="00101331">
        <w:t xml:space="preserve"> </w:t>
      </w:r>
      <w:r>
        <w:t>format</w:t>
      </w:r>
      <w:r w:rsidR="00933C85">
        <w:t xml:space="preserve">. </w:t>
      </w:r>
      <w:r w:rsidR="00933C85">
        <w:rPr>
          <w:rFonts w:eastAsia="Batang"/>
        </w:rPr>
        <w:t>E</w:t>
      </w:r>
      <w:r w:rsidR="009013E3" w:rsidRPr="00610444">
        <w:rPr>
          <w:rFonts w:eastAsia="Batang"/>
        </w:rPr>
        <w:t>ach</w:t>
      </w:r>
      <w:r w:rsidR="009239CE" w:rsidRPr="00610444">
        <w:rPr>
          <w:rFonts w:eastAsia="Batang"/>
        </w:rPr>
        <w:t xml:space="preserve"> tab in the SVAR contains </w:t>
      </w:r>
      <w:r w:rsidR="00933C85">
        <w:rPr>
          <w:rFonts w:eastAsia="Batang"/>
        </w:rPr>
        <w:t xml:space="preserve">mandatory and study-specific </w:t>
      </w:r>
      <w:r w:rsidR="009239CE" w:rsidRPr="00610444">
        <w:rPr>
          <w:rFonts w:eastAsia="Batang"/>
        </w:rPr>
        <w:t>questions</w:t>
      </w:r>
      <w:r w:rsidR="0073049E">
        <w:rPr>
          <w:rFonts w:eastAsia="Batang"/>
        </w:rPr>
        <w:t>,</w:t>
      </w:r>
      <w:r w:rsidR="009239CE" w:rsidRPr="00610444">
        <w:rPr>
          <w:rFonts w:eastAsia="Batang"/>
        </w:rPr>
        <w:t xml:space="preserve"> their corresponding attributes (i.e. field length, response value, data type</w:t>
      </w:r>
      <w:r w:rsidR="00154633">
        <w:rPr>
          <w:rFonts w:eastAsia="Batang"/>
        </w:rPr>
        <w:t>)</w:t>
      </w:r>
      <w:r w:rsidR="0073049E">
        <w:rPr>
          <w:rFonts w:eastAsia="Batang"/>
        </w:rPr>
        <w:t xml:space="preserve">, </w:t>
      </w:r>
      <w:r>
        <w:t>and the following elements:</w:t>
      </w:r>
    </w:p>
    <w:p w:rsidR="0080116D" w:rsidRDefault="0080116D" w:rsidP="001A6DD2">
      <w:pPr>
        <w:pStyle w:val="P1-StandPara"/>
        <w:numPr>
          <w:ilvl w:val="3"/>
          <w:numId w:val="2"/>
        </w:numPr>
      </w:pPr>
      <w:r>
        <w:t>Change Indicator</w:t>
      </w:r>
    </w:p>
    <w:p w:rsidR="001A6DD2" w:rsidRDefault="001A6DD2" w:rsidP="001A6DD2">
      <w:pPr>
        <w:pStyle w:val="P1-StandPara"/>
        <w:numPr>
          <w:ilvl w:val="3"/>
          <w:numId w:val="2"/>
        </w:numPr>
      </w:pPr>
      <w:r>
        <w:t>Question Name</w:t>
      </w:r>
    </w:p>
    <w:p w:rsidR="001A6DD2" w:rsidRDefault="001A6DD2" w:rsidP="001A6DD2">
      <w:pPr>
        <w:pStyle w:val="P1-StandPara"/>
        <w:numPr>
          <w:ilvl w:val="3"/>
          <w:numId w:val="2"/>
        </w:numPr>
      </w:pPr>
      <w:r>
        <w:t>Data Type</w:t>
      </w:r>
    </w:p>
    <w:p w:rsidR="0080116D" w:rsidRDefault="0080116D" w:rsidP="001A6DD2">
      <w:pPr>
        <w:pStyle w:val="P1-StandPara"/>
        <w:numPr>
          <w:ilvl w:val="3"/>
          <w:numId w:val="2"/>
        </w:numPr>
      </w:pPr>
      <w:r>
        <w:t xml:space="preserve">Field </w:t>
      </w:r>
      <w:r w:rsidR="001A6DD2">
        <w:t>Length (</w:t>
      </w:r>
      <w:r w:rsidR="005473DB">
        <w:t xml:space="preserve">including </w:t>
      </w:r>
      <w:r w:rsidR="001A6DD2">
        <w:t>decimal places, if applicable)</w:t>
      </w:r>
    </w:p>
    <w:p w:rsidR="0031217B" w:rsidRDefault="0031217B" w:rsidP="001A6DD2">
      <w:pPr>
        <w:pStyle w:val="P1-StandPara"/>
        <w:numPr>
          <w:ilvl w:val="3"/>
          <w:numId w:val="2"/>
        </w:numPr>
      </w:pPr>
      <w:r>
        <w:t>Field Type</w:t>
      </w:r>
    </w:p>
    <w:p w:rsidR="001A6DD2" w:rsidRDefault="001A6DD2" w:rsidP="001A6DD2">
      <w:pPr>
        <w:pStyle w:val="P1-StandPara"/>
        <w:numPr>
          <w:ilvl w:val="3"/>
          <w:numId w:val="2"/>
        </w:numPr>
      </w:pPr>
      <w:r>
        <w:lastRenderedPageBreak/>
        <w:t>Valid Value</w:t>
      </w:r>
      <w:r w:rsidR="00F81832">
        <w:t>s</w:t>
      </w:r>
      <w:r>
        <w:t xml:space="preserve"> (value and value meaning)</w:t>
      </w:r>
    </w:p>
    <w:p w:rsidR="00F81832" w:rsidRDefault="00F81832" w:rsidP="001A6DD2">
      <w:pPr>
        <w:pStyle w:val="P1-StandPara"/>
        <w:numPr>
          <w:ilvl w:val="3"/>
          <w:numId w:val="2"/>
        </w:numPr>
      </w:pPr>
      <w:r>
        <w:t>Mandatory?</w:t>
      </w:r>
    </w:p>
    <w:p w:rsidR="00F81832" w:rsidRDefault="00F81832" w:rsidP="001A6DD2">
      <w:pPr>
        <w:pStyle w:val="P1-StandPara"/>
        <w:numPr>
          <w:ilvl w:val="3"/>
          <w:numId w:val="2"/>
        </w:numPr>
      </w:pPr>
      <w:r>
        <w:t>Field Help Text</w:t>
      </w:r>
    </w:p>
    <w:p w:rsidR="00F81832" w:rsidRDefault="00F81832" w:rsidP="001A6DD2">
      <w:pPr>
        <w:pStyle w:val="P1-StandPara"/>
        <w:numPr>
          <w:ilvl w:val="3"/>
          <w:numId w:val="2"/>
        </w:numPr>
      </w:pPr>
      <w:r>
        <w:t>MDS Field?</w:t>
      </w:r>
    </w:p>
    <w:p w:rsidR="00F81832" w:rsidRDefault="00F81832" w:rsidP="001A6DD2">
      <w:pPr>
        <w:pStyle w:val="P1-StandPara"/>
        <w:numPr>
          <w:ilvl w:val="3"/>
          <w:numId w:val="2"/>
        </w:numPr>
      </w:pPr>
      <w:r>
        <w:t>MDS Collection Table</w:t>
      </w:r>
    </w:p>
    <w:p w:rsidR="00F81832" w:rsidRDefault="00F81832" w:rsidP="00F81832">
      <w:pPr>
        <w:pStyle w:val="P1-StandPara"/>
        <w:numPr>
          <w:ilvl w:val="3"/>
          <w:numId w:val="2"/>
        </w:numPr>
      </w:pPr>
      <w:r>
        <w:t>Site Comments</w:t>
      </w:r>
    </w:p>
    <w:p w:rsidR="00F81832" w:rsidRDefault="00F81832" w:rsidP="00F81832">
      <w:pPr>
        <w:pStyle w:val="P1-StandPara"/>
        <w:numPr>
          <w:ilvl w:val="3"/>
          <w:numId w:val="2"/>
        </w:numPr>
      </w:pPr>
      <w:r>
        <w:t>Curator Comments</w:t>
      </w:r>
    </w:p>
    <w:p w:rsidR="00F81832" w:rsidRDefault="00F81832" w:rsidP="00F81832">
      <w:pPr>
        <w:pStyle w:val="P1-StandPara"/>
        <w:numPr>
          <w:ilvl w:val="3"/>
          <w:numId w:val="2"/>
        </w:numPr>
      </w:pPr>
      <w:r>
        <w:t>caDSR Public ID: Version</w:t>
      </w:r>
    </w:p>
    <w:p w:rsidR="00F81832" w:rsidRDefault="00F81832" w:rsidP="00F81832">
      <w:pPr>
        <w:pStyle w:val="P1-StandPara"/>
        <w:numPr>
          <w:ilvl w:val="3"/>
          <w:numId w:val="2"/>
        </w:numPr>
      </w:pPr>
      <w:r>
        <w:t>csDSR Definition</w:t>
      </w:r>
    </w:p>
    <w:p w:rsidR="00F81832" w:rsidRDefault="00526B5E" w:rsidP="00526B5E">
      <w:pPr>
        <w:pStyle w:val="P1-StandPara"/>
        <w:ind w:left="2520" w:firstLine="0"/>
      </w:pPr>
      <w:r>
        <w:t>15.</w:t>
      </w:r>
      <w:r>
        <w:tab/>
      </w:r>
      <w:r w:rsidR="00F81832">
        <w:t>caDSR Representation (Value Domain Public ID)</w:t>
      </w:r>
    </w:p>
    <w:p w:rsidR="001A6DD2" w:rsidRDefault="001A6DD2" w:rsidP="000D456C">
      <w:pPr>
        <w:pStyle w:val="P1-StandPara"/>
        <w:numPr>
          <w:ilvl w:val="1"/>
          <w:numId w:val="2"/>
        </w:numPr>
        <w:jc w:val="left"/>
      </w:pPr>
      <w:r>
        <w:t>Confirm that all mandatory or required questions, including those that will be used to collect data for Minimum Data Set (MDS) reporting, are included in the CRF set</w:t>
      </w:r>
      <w:r w:rsidR="008A4F0D">
        <w:t xml:space="preserve"> or SVAR</w:t>
      </w:r>
      <w:r>
        <w:t>.  Mandatory questions are organized by modules (i.e. groups of related CDEs).  If a protocol does not use a particular module, the mandatory questions for that module do not need to be included in the protocol CRF set</w:t>
      </w:r>
      <w:r w:rsidR="008A4F0D">
        <w:t xml:space="preserve"> or SVAR</w:t>
      </w:r>
      <w:r>
        <w:t xml:space="preserve">.  Please </w:t>
      </w:r>
      <w:r w:rsidR="00B92C1A">
        <w:t xml:space="preserve">see </w:t>
      </w:r>
      <w:r w:rsidR="008558E2">
        <w:t xml:space="preserve">the </w:t>
      </w:r>
      <w:hyperlink r:id="rId10" w:history="1">
        <w:r w:rsidR="00B92C1A" w:rsidRPr="004B21BA">
          <w:rPr>
            <w:rStyle w:val="Hyperlink"/>
            <w:i/>
            <w:iCs/>
          </w:rPr>
          <w:t>Minimum D</w:t>
        </w:r>
        <w:r w:rsidR="00B92C1A" w:rsidRPr="004B21BA">
          <w:rPr>
            <w:rStyle w:val="Hyperlink"/>
            <w:i/>
            <w:iCs/>
          </w:rPr>
          <w:t>a</w:t>
        </w:r>
        <w:r w:rsidR="00B92C1A" w:rsidRPr="004B21BA">
          <w:rPr>
            <w:rStyle w:val="Hyperlink"/>
            <w:i/>
            <w:iCs/>
          </w:rPr>
          <w:t>ta Set Instructions</w:t>
        </w:r>
      </w:hyperlink>
      <w:r w:rsidR="00FC1CAA" w:rsidRPr="00FC1CAA">
        <w:t>)</w:t>
      </w:r>
      <w:r w:rsidR="00B92C1A">
        <w:t>.</w:t>
      </w:r>
    </w:p>
    <w:p w:rsidR="004E3064" w:rsidRDefault="004E3064">
      <w:pPr>
        <w:pStyle w:val="P1-StandPara"/>
        <w:numPr>
          <w:ilvl w:val="1"/>
          <w:numId w:val="2"/>
        </w:numPr>
        <w:jc w:val="left"/>
      </w:pPr>
      <w:r>
        <w:t xml:space="preserve">Confirm </w:t>
      </w:r>
      <w:r>
        <w:rPr>
          <w:rFonts w:eastAsia="Batang"/>
        </w:rPr>
        <w:t>compliance with the standards for NCI’s Common Data Elements (CDEs).  Information regarding these standards is available at</w:t>
      </w:r>
      <w:r w:rsidR="000D456C">
        <w:rPr>
          <w:rFonts w:eastAsia="Batang"/>
        </w:rPr>
        <w:t xml:space="preserve"> </w:t>
      </w:r>
      <w:hyperlink r:id="rId11" w:history="1">
        <w:r w:rsidR="000D456C" w:rsidRPr="008E4627">
          <w:rPr>
            <w:rStyle w:val="Hyperlink"/>
          </w:rPr>
          <w:t>https://wiki.nci.nih.gov/disp</w:t>
        </w:r>
        <w:r w:rsidR="000D456C" w:rsidRPr="008E4627">
          <w:rPr>
            <w:rStyle w:val="Hyperlink"/>
          </w:rPr>
          <w:t>l</w:t>
        </w:r>
        <w:r w:rsidR="000D456C" w:rsidRPr="008E4627">
          <w:rPr>
            <w:rStyle w:val="Hyperlink"/>
          </w:rPr>
          <w:t>ay/CRF2/CRF+Harmonization+and+Standardization</w:t>
        </w:r>
      </w:hyperlink>
      <w:r w:rsidR="000D456C">
        <w:rPr>
          <w:rFonts w:eastAsia="Batang"/>
        </w:rPr>
        <w:t>.</w:t>
      </w:r>
    </w:p>
    <w:p w:rsidR="004E3064" w:rsidRDefault="004E3064">
      <w:pPr>
        <w:pStyle w:val="P1-StandPara"/>
        <w:numPr>
          <w:ilvl w:val="1"/>
          <w:numId w:val="2"/>
        </w:numPr>
      </w:pPr>
      <w:r>
        <w:t xml:space="preserve">Determine the versioning practice for any changes to the CRF set.  Each CRF </w:t>
      </w:r>
      <w:r w:rsidR="00242058">
        <w:t xml:space="preserve">or SVAR </w:t>
      </w:r>
      <w:r>
        <w:t xml:space="preserve">submission (for each protocol) should be assigned a unique version date.  In addition to the version date, a version numbering schema may be used.  </w:t>
      </w:r>
      <w:r w:rsidR="00101331">
        <w:t>When version numbers are used</w:t>
      </w:r>
      <w:r>
        <w:t>, the numbering should be sequential for each subsequent submission of the CRFs</w:t>
      </w:r>
      <w:r w:rsidR="00242058">
        <w:t xml:space="preserve"> or SVAR</w:t>
      </w:r>
      <w:r>
        <w:t>.</w:t>
      </w:r>
    </w:p>
    <w:p w:rsidR="004E3064" w:rsidRDefault="004E3064">
      <w:pPr>
        <w:pStyle w:val="P1-StandPara"/>
        <w:numPr>
          <w:ilvl w:val="1"/>
          <w:numId w:val="2"/>
        </w:numPr>
      </w:pPr>
      <w:r>
        <w:t xml:space="preserve">Submit the </w:t>
      </w:r>
      <w:r w:rsidR="00242058">
        <w:t xml:space="preserve">initial and amended </w:t>
      </w:r>
      <w:r>
        <w:t xml:space="preserve">CRF set </w:t>
      </w:r>
      <w:r w:rsidR="00242058">
        <w:t xml:space="preserve">or SVAR and related documents </w:t>
      </w:r>
      <w:r>
        <w:t>to the DCP Protocol Information Office (PIO)</w:t>
      </w:r>
      <w:r w:rsidR="00242058">
        <w:t xml:space="preserve"> at </w:t>
      </w:r>
      <w:bookmarkStart w:id="0" w:name="_Hlk34376957"/>
      <w:r w:rsidR="00242058">
        <w:fldChar w:fldCharType="begin"/>
      </w:r>
      <w:r w:rsidR="00242058">
        <w:instrText xml:space="preserve"> HYPERLINK "mailto:</w:instrText>
      </w:r>
      <w:r w:rsidR="00242058" w:rsidRPr="00242058">
        <w:instrText>nci_dcp_pio@mail.nih.gov</w:instrText>
      </w:r>
      <w:r w:rsidR="00242058">
        <w:instrText xml:space="preserve">" </w:instrText>
      </w:r>
      <w:r w:rsidR="00242058">
        <w:fldChar w:fldCharType="separate"/>
      </w:r>
      <w:r w:rsidR="00242058" w:rsidRPr="00394E2E">
        <w:rPr>
          <w:rStyle w:val="Hyperlink"/>
        </w:rPr>
        <w:t>nci_dcp_pio@mail.nih.gov</w:t>
      </w:r>
      <w:r w:rsidR="00242058">
        <w:fldChar w:fldCharType="end"/>
      </w:r>
      <w:bookmarkEnd w:id="0"/>
      <w:r w:rsidR="00242058">
        <w:t xml:space="preserve"> </w:t>
      </w:r>
      <w:r>
        <w:t xml:space="preserve">as part of </w:t>
      </w:r>
      <w:r w:rsidR="008558E2">
        <w:t xml:space="preserve">either </w:t>
      </w:r>
      <w:r w:rsidR="0002603E">
        <w:t xml:space="preserve">a </w:t>
      </w:r>
      <w:r>
        <w:t>protocol submission</w:t>
      </w:r>
      <w:r w:rsidR="0002603E">
        <w:t>,</w:t>
      </w:r>
      <w:r>
        <w:t xml:space="preserve"> </w:t>
      </w:r>
      <w:r w:rsidR="0002603E">
        <w:t xml:space="preserve">or </w:t>
      </w:r>
      <w:r w:rsidR="008558E2">
        <w:t xml:space="preserve">a submission of a </w:t>
      </w:r>
      <w:r w:rsidR="0002603E">
        <w:t>CRF</w:t>
      </w:r>
      <w:r w:rsidR="008558E2">
        <w:t xml:space="preserve"> </w:t>
      </w:r>
      <w:r w:rsidR="006E7198">
        <w:t>s</w:t>
      </w:r>
      <w:r w:rsidR="008558E2">
        <w:t>et</w:t>
      </w:r>
      <w:r w:rsidR="006E7198">
        <w:t xml:space="preserve"> </w:t>
      </w:r>
      <w:r w:rsidR="0002603E">
        <w:t>or SVAR only</w:t>
      </w:r>
      <w:r w:rsidR="008558E2">
        <w:t>.</w:t>
      </w:r>
      <w:r>
        <w:t>.  The DCP PIO will then distribute the data collection materials to the designated reviewers, including the DCP CRF</w:t>
      </w:r>
      <w:r w:rsidR="00242058">
        <w:t>/SVAR</w:t>
      </w:r>
      <w:r>
        <w:t xml:space="preserve"> Review team.  </w:t>
      </w:r>
    </w:p>
    <w:p w:rsidR="004E3064" w:rsidRDefault="004E3064">
      <w:pPr>
        <w:pStyle w:val="P1-StandPara"/>
        <w:numPr>
          <w:ilvl w:val="1"/>
          <w:numId w:val="2"/>
        </w:numPr>
      </w:pPr>
      <w:r>
        <w:t>Revise the CRF set</w:t>
      </w:r>
      <w:r w:rsidR="00242058">
        <w:t xml:space="preserve"> or SVAR</w:t>
      </w:r>
      <w:r>
        <w:t xml:space="preserve"> based on comments received from the DCP CRF</w:t>
      </w:r>
      <w:r w:rsidR="00242058">
        <w:t>/SVAR</w:t>
      </w:r>
      <w:r>
        <w:t xml:space="preserve"> Review Team, as needed, until the CRF</w:t>
      </w:r>
      <w:r w:rsidR="008558E2">
        <w:t xml:space="preserve"> </w:t>
      </w:r>
      <w:r>
        <w:t>s</w:t>
      </w:r>
      <w:r w:rsidR="008558E2">
        <w:t>et</w:t>
      </w:r>
      <w:r w:rsidR="00242058">
        <w:t xml:space="preserve"> or SVAR</w:t>
      </w:r>
      <w:r>
        <w:t xml:space="preserve"> </w:t>
      </w:r>
      <w:r w:rsidR="008558E2">
        <w:t xml:space="preserve">is </w:t>
      </w:r>
      <w:r>
        <w:t xml:space="preserve">found to be acceptable.  </w:t>
      </w:r>
    </w:p>
    <w:p w:rsidR="004E3064" w:rsidRDefault="004E3064">
      <w:pPr>
        <w:pStyle w:val="P1-StandPara"/>
        <w:numPr>
          <w:ilvl w:val="2"/>
          <w:numId w:val="2"/>
        </w:numPr>
      </w:pPr>
      <w:r>
        <w:t>The comments from the DCP CRF</w:t>
      </w:r>
      <w:r w:rsidR="006E7198">
        <w:t>/SVAR</w:t>
      </w:r>
      <w:r>
        <w:t xml:space="preserve"> Review Team will be recorded in a Consolidated CRF</w:t>
      </w:r>
      <w:r w:rsidR="00242058">
        <w:t xml:space="preserve"> or SVAR </w:t>
      </w:r>
      <w:r>
        <w:t>Review Document</w:t>
      </w:r>
      <w:r w:rsidR="0003504A">
        <w:t xml:space="preserve"> </w:t>
      </w:r>
      <w:r w:rsidR="007F7FAA">
        <w:t xml:space="preserve">(Appendix 1A and Appendix 1B, respectively) </w:t>
      </w:r>
      <w:r w:rsidR="00242058">
        <w:t>and/</w:t>
      </w:r>
      <w:r w:rsidR="0003504A">
        <w:t xml:space="preserve">or </w:t>
      </w:r>
      <w:r w:rsidR="00242058">
        <w:t>i</w:t>
      </w:r>
      <w:r w:rsidR="0003504A">
        <w:t>n the</w:t>
      </w:r>
      <w:r w:rsidR="00242058">
        <w:t xml:space="preserve"> appropriate tab in the</w:t>
      </w:r>
      <w:r w:rsidR="0003504A">
        <w:t xml:space="preserve"> SVAR</w:t>
      </w:r>
      <w:r>
        <w:t xml:space="preserve">. Each comment </w:t>
      </w:r>
      <w:r w:rsidR="0003504A">
        <w:t xml:space="preserve">on the Consolidated Review Document </w:t>
      </w:r>
      <w:r>
        <w:t xml:space="preserve">will be tagged with a comment type to identify </w:t>
      </w:r>
      <w:r>
        <w:lastRenderedPageBreak/>
        <w:t xml:space="preserve">the reason the CRF </w:t>
      </w:r>
      <w:r w:rsidR="006E7198">
        <w:t xml:space="preserve">or SVAR </w:t>
      </w:r>
      <w:r>
        <w:t>revision or clarification is requested (e.g. “MDS Requirement” would be a tag for a comment regarding a missing MDS variable.)</w:t>
      </w:r>
    </w:p>
    <w:p w:rsidR="004E3064" w:rsidRDefault="004E3064">
      <w:pPr>
        <w:pStyle w:val="P1-StandPara"/>
        <w:numPr>
          <w:ilvl w:val="2"/>
          <w:numId w:val="2"/>
        </w:numPr>
      </w:pPr>
      <w:r>
        <w:t>For any re-submissions, include a “Response Memo” listing the response to each comment in the Consolidated Review Document</w:t>
      </w:r>
      <w:r w:rsidR="006E7198">
        <w:t xml:space="preserve"> and/or SVAR</w:t>
      </w:r>
      <w:r>
        <w:t xml:space="preserve">.  </w:t>
      </w:r>
      <w:r w:rsidR="00982C47">
        <w:t xml:space="preserve">A clean and tracked copy of the </w:t>
      </w:r>
      <w:r w:rsidR="00A94992">
        <w:t xml:space="preserve">updated </w:t>
      </w:r>
      <w:r w:rsidR="00982C47">
        <w:t>CRF set or SVAR must also be submitted.</w:t>
      </w:r>
    </w:p>
    <w:p w:rsidR="004E3064" w:rsidRDefault="004E3064">
      <w:pPr>
        <w:pStyle w:val="P1-StandPara"/>
        <w:numPr>
          <w:ilvl w:val="2"/>
          <w:numId w:val="2"/>
        </w:numPr>
      </w:pPr>
      <w:r>
        <w:t>If any changes to the protocol are made during the submission process, review the CRF set</w:t>
      </w:r>
      <w:r w:rsidR="006E7198">
        <w:t xml:space="preserve"> or SVAR</w:t>
      </w:r>
      <w:r>
        <w:t xml:space="preserve"> to determine if parallel changes are needed.  </w:t>
      </w:r>
    </w:p>
    <w:p w:rsidR="00A94992" w:rsidRDefault="004E3064">
      <w:pPr>
        <w:pStyle w:val="P1-StandPara"/>
        <w:numPr>
          <w:ilvl w:val="1"/>
          <w:numId w:val="2"/>
        </w:numPr>
      </w:pPr>
      <w:r>
        <w:t xml:space="preserve">Collaborate with the </w:t>
      </w:r>
      <w:r w:rsidR="0044353E">
        <w:t xml:space="preserve">DCP </w:t>
      </w:r>
      <w:r>
        <w:t>CDE</w:t>
      </w:r>
      <w:r w:rsidR="005D3E65">
        <w:t xml:space="preserve"> Curator</w:t>
      </w:r>
      <w:r>
        <w:t xml:space="preserve"> to identify the CDEs for the protocol.  </w:t>
      </w:r>
    </w:p>
    <w:p w:rsidR="00A94992" w:rsidRPr="00DD58AD" w:rsidRDefault="00960F4F" w:rsidP="00A94992">
      <w:pPr>
        <w:pStyle w:val="P1-StandPara"/>
        <w:numPr>
          <w:ilvl w:val="2"/>
          <w:numId w:val="2"/>
        </w:numPr>
      </w:pPr>
      <w:r>
        <w:t>If CRFs will be used for data collection, a</w:t>
      </w:r>
      <w:r w:rsidR="004E3064">
        <w:t xml:space="preserve"> CDE spreadsheet listing the CDEs approved for the protocol will be distributed to the CLO</w:t>
      </w:r>
      <w:r w:rsidR="004E3064" w:rsidRPr="0043304A">
        <w:t>.</w:t>
      </w:r>
      <w:r w:rsidR="004E3064" w:rsidRPr="0043304A">
        <w:rPr>
          <w:color w:val="FF0000"/>
        </w:rPr>
        <w:t xml:space="preserve">  </w:t>
      </w:r>
      <w:bookmarkStart w:id="1" w:name="_Hlk38373447"/>
    </w:p>
    <w:p w:rsidR="00A94992" w:rsidRPr="001A4FA8" w:rsidRDefault="00960F4F" w:rsidP="00A94992">
      <w:pPr>
        <w:pStyle w:val="P1-StandPara"/>
        <w:numPr>
          <w:ilvl w:val="2"/>
          <w:numId w:val="2"/>
        </w:numPr>
      </w:pPr>
      <w:r w:rsidRPr="001A4FA8">
        <w:t xml:space="preserve">Approved </w:t>
      </w:r>
      <w:r w:rsidR="0003504A" w:rsidRPr="001A4FA8">
        <w:t xml:space="preserve">CDEs are included </w:t>
      </w:r>
      <w:r w:rsidR="0044353E" w:rsidRPr="001A4FA8">
        <w:t>in</w:t>
      </w:r>
      <w:r w:rsidR="0003504A" w:rsidRPr="001A4FA8">
        <w:t xml:space="preserve"> the SVAR</w:t>
      </w:r>
      <w:r w:rsidR="0044353E" w:rsidRPr="001A4FA8">
        <w:t xml:space="preserve"> for a protocol</w:t>
      </w:r>
      <w:r w:rsidR="00177134" w:rsidRPr="001A4FA8">
        <w:t>; however, all CDE comments must be addressed before the SVAR can be finalized</w:t>
      </w:r>
      <w:r w:rsidR="005A62CF" w:rsidRPr="001A4FA8">
        <w:t xml:space="preserve"> and the CDEs released</w:t>
      </w:r>
      <w:r w:rsidR="00DD58AD" w:rsidRPr="001A4FA8">
        <w:t xml:space="preserve">. </w:t>
      </w:r>
      <w:r w:rsidR="00177134" w:rsidRPr="001A4FA8">
        <w:t xml:space="preserve"> (</w:t>
      </w:r>
      <w:r w:rsidR="00DD58AD" w:rsidRPr="001A4FA8">
        <w:t>S</w:t>
      </w:r>
      <w:r w:rsidR="00177134" w:rsidRPr="001A4FA8">
        <w:t xml:space="preserve">ee </w:t>
      </w:r>
      <w:r w:rsidR="00505AC4" w:rsidRPr="001A4FA8">
        <w:t>the SVAR Instructions tab</w:t>
      </w:r>
      <w:r w:rsidR="00177134" w:rsidRPr="001A4FA8">
        <w:t>).</w:t>
      </w:r>
      <w:bookmarkEnd w:id="1"/>
    </w:p>
    <w:p w:rsidR="004E3064" w:rsidRDefault="004E3064" w:rsidP="00DD58AD">
      <w:pPr>
        <w:pStyle w:val="P1-StandPara"/>
        <w:numPr>
          <w:ilvl w:val="2"/>
          <w:numId w:val="2"/>
        </w:numPr>
      </w:pPr>
      <w:r>
        <w:t>The CDE spreadsheet</w:t>
      </w:r>
      <w:r w:rsidR="0003504A">
        <w:t xml:space="preserve"> or SVAR</w:t>
      </w:r>
      <w:r>
        <w:t xml:space="preserve"> should be used to inform database development for the protocol and will also serve as a description of the expected content of the final dataset for the study.  </w:t>
      </w:r>
    </w:p>
    <w:p w:rsidR="004E3064" w:rsidRDefault="004E3064">
      <w:pPr>
        <w:pStyle w:val="P1-StandPara"/>
        <w:ind w:firstLine="0"/>
      </w:pPr>
    </w:p>
    <w:p w:rsidR="004E3064" w:rsidRDefault="004E3064">
      <w:pPr>
        <w:pStyle w:val="Heading3"/>
      </w:pPr>
      <w:r>
        <w:t>Responsibilities: Data Management Plan (DMP)</w:t>
      </w:r>
    </w:p>
    <w:p w:rsidR="004E3064" w:rsidRDefault="004E3064">
      <w:pPr>
        <w:pStyle w:val="P1-StandPara"/>
        <w:ind w:left="360" w:firstLine="360"/>
      </w:pPr>
      <w:r>
        <w:t xml:space="preserve">The CLO Investigator, CLO Site Coordinator, or designee will:  </w:t>
      </w:r>
    </w:p>
    <w:p w:rsidR="004E3064" w:rsidRDefault="004E3064">
      <w:pPr>
        <w:pStyle w:val="P1-StandPara"/>
        <w:numPr>
          <w:ilvl w:val="0"/>
          <w:numId w:val="4"/>
        </w:numPr>
      </w:pPr>
      <w:r>
        <w:t>Determine the database of record for each protocol, and the functionality of the electronic CRF set</w:t>
      </w:r>
      <w:r w:rsidR="0044353E">
        <w:t xml:space="preserve"> or SVAR</w:t>
      </w:r>
    </w:p>
    <w:p w:rsidR="004E3064" w:rsidRDefault="004E3064">
      <w:pPr>
        <w:pStyle w:val="P1-StandPara"/>
        <w:numPr>
          <w:ilvl w:val="0"/>
          <w:numId w:val="4"/>
        </w:numPr>
      </w:pPr>
      <w:r>
        <w:t>Confirm the database of record is consistent with the CRF set</w:t>
      </w:r>
      <w:r w:rsidR="0044353E">
        <w:t xml:space="preserve"> or SVAR</w:t>
      </w:r>
      <w:r>
        <w:t>.</w:t>
      </w:r>
    </w:p>
    <w:p w:rsidR="004E3064" w:rsidRDefault="004E3064">
      <w:pPr>
        <w:pStyle w:val="P1-StandPara"/>
        <w:numPr>
          <w:ilvl w:val="0"/>
          <w:numId w:val="4"/>
        </w:numPr>
      </w:pPr>
      <w:r>
        <w:t xml:space="preserve">Determine the process of data entry, i.e. de-centralized or centralized.  For example, will each enrolling site be responsible for entering their own data into the database (de-centralized), or will this be completed by staff at one central location.   </w:t>
      </w:r>
    </w:p>
    <w:p w:rsidR="004E3064" w:rsidRDefault="004E3064">
      <w:pPr>
        <w:pStyle w:val="P1-StandPara"/>
        <w:numPr>
          <w:ilvl w:val="0"/>
          <w:numId w:val="4"/>
        </w:numPr>
      </w:pPr>
      <w:r>
        <w:t xml:space="preserve">Determine if the POs will be required to complete a set of paper </w:t>
      </w:r>
      <w:r w:rsidR="00FF1C0D">
        <w:t xml:space="preserve">or electronic </w:t>
      </w:r>
      <w:r>
        <w:t xml:space="preserve">CRFs for each participant.  This may vary per protocol and may change during the conduct of each study.  (For example, PO sites may be asked to complete paper CRFs initially, and then the need for this practice reassessed </w:t>
      </w:r>
      <w:r w:rsidR="00FF1C0D">
        <w:t>during the course of the study</w:t>
      </w:r>
      <w:r>
        <w:t xml:space="preserve">).    </w:t>
      </w:r>
    </w:p>
    <w:p w:rsidR="004E3064" w:rsidRDefault="004E3064">
      <w:pPr>
        <w:pStyle w:val="P1-StandPara"/>
        <w:numPr>
          <w:ilvl w:val="0"/>
          <w:numId w:val="4"/>
        </w:numPr>
      </w:pPr>
      <w:r>
        <w:t xml:space="preserve">Confirm that all details regarding data collection, such as the database of record, process </w:t>
      </w:r>
      <w:r w:rsidR="006E7198">
        <w:t xml:space="preserve">for </w:t>
      </w:r>
      <w:r>
        <w:t>data entry (e.g. centralized or de-centralized</w:t>
      </w:r>
      <w:r w:rsidR="009013E3">
        <w:t>) or</w:t>
      </w:r>
      <w:r>
        <w:t xml:space="preserve"> use of paper </w:t>
      </w:r>
      <w:r w:rsidR="00FF1C0D">
        <w:t xml:space="preserve">and/or electronic </w:t>
      </w:r>
      <w:r>
        <w:t>CRFs</w:t>
      </w:r>
      <w:r w:rsidR="0044353E">
        <w:t xml:space="preserve"> or an SVAR</w:t>
      </w:r>
      <w:r>
        <w:t>, are specified within the Consortia 2012 CLO</w:t>
      </w:r>
      <w:r w:rsidR="0044353E">
        <w:t>’s</w:t>
      </w:r>
      <w:r>
        <w:t xml:space="preserve"> DMP.  If any particular protocol will diverge from the CLO’s designated standard of data collection, the data collection method should be added as an appendix to the CLO DMP.  </w:t>
      </w:r>
    </w:p>
    <w:p w:rsidR="004E3064" w:rsidRDefault="004E3064">
      <w:pPr>
        <w:pStyle w:val="P1-StandPara"/>
        <w:ind w:left="720" w:firstLine="0"/>
      </w:pPr>
    </w:p>
    <w:p w:rsidR="004E3064" w:rsidRDefault="004E3064">
      <w:pPr>
        <w:pStyle w:val="Heading3"/>
      </w:pPr>
      <w:r>
        <w:t>Responsibilities: Communication</w:t>
      </w:r>
    </w:p>
    <w:p w:rsidR="004E3064" w:rsidRDefault="004E3064">
      <w:pPr>
        <w:pStyle w:val="P1-StandPara"/>
        <w:ind w:left="360" w:firstLine="360"/>
      </w:pPr>
      <w:r>
        <w:t xml:space="preserve">The CLO Investigator, CLO Site Coordinator, or designee will:  </w:t>
      </w:r>
    </w:p>
    <w:p w:rsidR="004E3064" w:rsidRDefault="004E3064">
      <w:pPr>
        <w:pStyle w:val="P1-StandPara"/>
        <w:numPr>
          <w:ilvl w:val="0"/>
          <w:numId w:val="3"/>
        </w:numPr>
      </w:pPr>
      <w:r>
        <w:t xml:space="preserve">Communicate the protocol-specific data collection practices to each PO and/or enrolling site.  </w:t>
      </w:r>
    </w:p>
    <w:p w:rsidR="004E3064" w:rsidRDefault="004E3064">
      <w:pPr>
        <w:pStyle w:val="P1-StandPara"/>
        <w:numPr>
          <w:ilvl w:val="0"/>
          <w:numId w:val="3"/>
        </w:numPr>
      </w:pPr>
      <w:r>
        <w:t xml:space="preserve">Ensure each enrolling site is using the most current version of the CRF set </w:t>
      </w:r>
      <w:r w:rsidR="0044353E">
        <w:t xml:space="preserve">or SVAR </w:t>
      </w:r>
      <w:r>
        <w:t xml:space="preserve">throughout the conduct of the study.  </w:t>
      </w:r>
    </w:p>
    <w:p w:rsidR="004E3064" w:rsidRDefault="004E3064">
      <w:pPr>
        <w:pStyle w:val="P1-StandPara"/>
        <w:numPr>
          <w:ilvl w:val="0"/>
          <w:numId w:val="3"/>
        </w:numPr>
      </w:pPr>
      <w:r>
        <w:t>Ensure that each enrolling site follows all determinations by the CLO as to the use and versioning of CRFs</w:t>
      </w:r>
      <w:r w:rsidR="0044353E">
        <w:t xml:space="preserve"> or SVAR</w:t>
      </w:r>
      <w:r>
        <w:t>.</w:t>
      </w:r>
    </w:p>
    <w:p w:rsidR="004E3064" w:rsidRDefault="004E3064">
      <w:pPr>
        <w:pStyle w:val="P1-StandPara"/>
        <w:ind w:left="720" w:firstLine="0"/>
      </w:pPr>
    </w:p>
    <w:p w:rsidR="004E3064" w:rsidRDefault="004E3064">
      <w:pPr>
        <w:pStyle w:val="Heading3"/>
        <w:spacing w:after="120"/>
        <w:ind w:left="810" w:firstLine="0"/>
      </w:pPr>
      <w:r>
        <w:t>Documentation Requirements:</w:t>
      </w:r>
    </w:p>
    <w:p w:rsidR="004E3064" w:rsidRDefault="004E3064">
      <w:pPr>
        <w:spacing w:line="360" w:lineRule="atLeast"/>
        <w:ind w:left="360" w:firstLine="450"/>
        <w:rPr>
          <w:szCs w:val="22"/>
        </w:rPr>
      </w:pPr>
      <w:r>
        <w:rPr>
          <w:szCs w:val="22"/>
        </w:rPr>
        <w:t>Each CLO is responsible for maintaining the following documentation:</w:t>
      </w:r>
    </w:p>
    <w:p w:rsidR="004E3064" w:rsidRDefault="004E3064">
      <w:pPr>
        <w:pStyle w:val="ListParagraph"/>
        <w:numPr>
          <w:ilvl w:val="0"/>
          <w:numId w:val="5"/>
        </w:numPr>
        <w:spacing w:line="360" w:lineRule="atLeast"/>
        <w:rPr>
          <w:szCs w:val="22"/>
        </w:rPr>
      </w:pPr>
      <w:r>
        <w:rPr>
          <w:szCs w:val="22"/>
        </w:rPr>
        <w:t xml:space="preserve">Current Consortia 2012 CLO DMP </w:t>
      </w:r>
      <w:r w:rsidR="00FF1C0D">
        <w:rPr>
          <w:szCs w:val="22"/>
        </w:rPr>
        <w:t xml:space="preserve">and any related appendices </w:t>
      </w:r>
      <w:r>
        <w:rPr>
          <w:szCs w:val="22"/>
        </w:rPr>
        <w:t>that reflects the current data collection practices for each protocol.</w:t>
      </w:r>
    </w:p>
    <w:p w:rsidR="004E3064" w:rsidRDefault="004E3064">
      <w:pPr>
        <w:pStyle w:val="ListParagraph"/>
        <w:numPr>
          <w:ilvl w:val="0"/>
          <w:numId w:val="5"/>
        </w:numPr>
        <w:spacing w:line="360" w:lineRule="atLeast"/>
        <w:rPr>
          <w:szCs w:val="22"/>
        </w:rPr>
      </w:pPr>
      <w:r>
        <w:rPr>
          <w:szCs w:val="22"/>
        </w:rPr>
        <w:t xml:space="preserve">The letter of acceptance from DCP regarding the CRF set or </w:t>
      </w:r>
      <w:r w:rsidR="00FF1C0D">
        <w:rPr>
          <w:szCs w:val="22"/>
        </w:rPr>
        <w:t xml:space="preserve">SVAR </w:t>
      </w:r>
      <w:r>
        <w:rPr>
          <w:szCs w:val="22"/>
        </w:rPr>
        <w:t>for each protocol.</w:t>
      </w:r>
    </w:p>
    <w:p w:rsidR="004E3064" w:rsidRDefault="004E3064">
      <w:pPr>
        <w:pStyle w:val="ListParagraph"/>
        <w:numPr>
          <w:ilvl w:val="0"/>
          <w:numId w:val="5"/>
        </w:numPr>
        <w:spacing w:line="360" w:lineRule="atLeast"/>
        <w:rPr>
          <w:szCs w:val="22"/>
        </w:rPr>
      </w:pPr>
      <w:r>
        <w:rPr>
          <w:szCs w:val="22"/>
        </w:rPr>
        <w:t>The CDE spreadsheet listing all approved CDEs for each protocol</w:t>
      </w:r>
      <w:r w:rsidR="00FF1C0D">
        <w:rPr>
          <w:szCs w:val="22"/>
        </w:rPr>
        <w:t xml:space="preserve"> when data will be collected using CRFs</w:t>
      </w:r>
      <w:r w:rsidR="00B4298D">
        <w:rPr>
          <w:szCs w:val="22"/>
        </w:rPr>
        <w:t xml:space="preserve">.  </w:t>
      </w:r>
      <w:r w:rsidR="00844D57">
        <w:rPr>
          <w:szCs w:val="22"/>
        </w:rPr>
        <w:t>CDEs are included in the SVAR</w:t>
      </w:r>
      <w:r w:rsidR="00FF1C0D">
        <w:rPr>
          <w:szCs w:val="22"/>
        </w:rPr>
        <w:t xml:space="preserve"> for each protocol</w:t>
      </w:r>
      <w:r>
        <w:rPr>
          <w:szCs w:val="22"/>
        </w:rPr>
        <w:t xml:space="preserve">.  </w:t>
      </w:r>
    </w:p>
    <w:p w:rsidR="004E3064" w:rsidRDefault="004E3064">
      <w:pPr>
        <w:pStyle w:val="Footer"/>
        <w:autoSpaceDE w:val="0"/>
        <w:spacing w:after="120" w:line="240" w:lineRule="auto"/>
        <w:ind w:left="720"/>
        <w:rPr>
          <w:szCs w:val="22"/>
        </w:rPr>
      </w:pPr>
    </w:p>
    <w:p w:rsidR="004E3064" w:rsidRDefault="004E3064">
      <w:pPr>
        <w:pStyle w:val="Heading3"/>
        <w:spacing w:after="0" w:line="360" w:lineRule="atLeast"/>
      </w:pPr>
      <w:r>
        <w:t>Additional Information:</w:t>
      </w:r>
    </w:p>
    <w:p w:rsidR="004E3064" w:rsidRDefault="004E3064">
      <w:pPr>
        <w:pStyle w:val="N2-2ndBullet"/>
        <w:spacing w:after="0" w:line="360" w:lineRule="atLeast"/>
        <w:ind w:left="360" w:firstLine="450"/>
        <w:rPr>
          <w:b/>
          <w:szCs w:val="22"/>
        </w:rPr>
      </w:pPr>
      <w:r>
        <w:t xml:space="preserve">Refer to the </w:t>
      </w:r>
      <w:hyperlink r:id="rId12" w:history="1">
        <w:r>
          <w:rPr>
            <w:rStyle w:val="Hyperlink"/>
          </w:rPr>
          <w:t>D</w:t>
        </w:r>
        <w:r>
          <w:rPr>
            <w:rStyle w:val="Hyperlink"/>
          </w:rPr>
          <w:t>C</w:t>
        </w:r>
        <w:r>
          <w:rPr>
            <w:rStyle w:val="Hyperlink"/>
          </w:rPr>
          <w:t xml:space="preserve">P </w:t>
        </w:r>
        <w:r>
          <w:rPr>
            <w:rStyle w:val="Hyperlink"/>
          </w:rPr>
          <w:t>A</w:t>
        </w:r>
        <w:r>
          <w:rPr>
            <w:rStyle w:val="Hyperlink"/>
          </w:rPr>
          <w:t>c</w:t>
        </w:r>
        <w:r>
          <w:rPr>
            <w:rStyle w:val="Hyperlink"/>
          </w:rPr>
          <w:t>r</w:t>
        </w:r>
        <w:r>
          <w:rPr>
            <w:rStyle w:val="Hyperlink"/>
          </w:rPr>
          <w:t>o</w:t>
        </w:r>
        <w:r>
          <w:rPr>
            <w:rStyle w:val="Hyperlink"/>
          </w:rPr>
          <w:t>n</w:t>
        </w:r>
        <w:r>
          <w:rPr>
            <w:rStyle w:val="Hyperlink"/>
          </w:rPr>
          <w:t>y</w:t>
        </w:r>
        <w:r>
          <w:rPr>
            <w:rStyle w:val="Hyperlink"/>
          </w:rPr>
          <w:t>m</w:t>
        </w:r>
        <w:r>
          <w:rPr>
            <w:rStyle w:val="Hyperlink"/>
          </w:rPr>
          <w:t xml:space="preserve"> </w:t>
        </w:r>
        <w:r>
          <w:rPr>
            <w:rStyle w:val="Hyperlink"/>
          </w:rPr>
          <w:t>List</w:t>
        </w:r>
      </w:hyperlink>
      <w:r>
        <w:t xml:space="preserve"> to see the description for commonly used acronyms in this SOP.</w:t>
      </w:r>
    </w:p>
    <w:p w:rsidR="004E3064" w:rsidRDefault="004E3064">
      <w:pPr>
        <w:pStyle w:val="N2-2ndBullet"/>
        <w:autoSpaceDE w:val="0"/>
        <w:spacing w:after="0" w:line="240" w:lineRule="auto"/>
        <w:ind w:firstLine="360"/>
        <w:jc w:val="center"/>
        <w:rPr>
          <w:b/>
          <w:szCs w:val="22"/>
        </w:rPr>
      </w:pPr>
    </w:p>
    <w:p w:rsidR="004E3064" w:rsidRDefault="004E3064">
      <w:pPr>
        <w:pStyle w:val="N2-2ndBullet"/>
        <w:autoSpaceDE w:val="0"/>
        <w:spacing w:line="240" w:lineRule="auto"/>
        <w:ind w:left="2088"/>
        <w:jc w:val="center"/>
      </w:pPr>
      <w:r>
        <w:rPr>
          <w:b/>
          <w:szCs w:val="22"/>
        </w:rPr>
        <w:t>Please send questions and comments to the DCP Help Desk at:</w:t>
      </w:r>
      <w:r>
        <w:rPr>
          <w:b/>
          <w:szCs w:val="22"/>
        </w:rPr>
        <w:br/>
      </w:r>
      <w:r w:rsidR="00844D57">
        <w:rPr>
          <w:b/>
          <w:szCs w:val="22"/>
        </w:rPr>
        <w:t xml:space="preserve">1-844-901-4357 or </w:t>
      </w:r>
      <w:hyperlink r:id="rId13" w:history="1">
        <w:r w:rsidR="00844D57">
          <w:rPr>
            <w:rStyle w:val="Hyperlink"/>
            <w:b/>
            <w:szCs w:val="22"/>
          </w:rPr>
          <w:t>dcphelpdesk@dcpais.com</w:t>
        </w:r>
      </w:hyperlink>
    </w:p>
    <w:p w:rsidR="000328FC" w:rsidRDefault="000328FC">
      <w:pPr>
        <w:pStyle w:val="N2-2ndBullet"/>
        <w:autoSpaceDE w:val="0"/>
        <w:spacing w:line="240" w:lineRule="auto"/>
        <w:ind w:left="2088"/>
        <w:jc w:val="center"/>
      </w:pPr>
    </w:p>
    <w:p w:rsidR="00494A50" w:rsidRPr="00494A50" w:rsidRDefault="000328FC" w:rsidP="00494A50">
      <w:pPr>
        <w:pStyle w:val="N2-2ndBullet"/>
        <w:autoSpaceDE w:val="0"/>
        <w:spacing w:after="120" w:line="240" w:lineRule="auto"/>
        <w:jc w:val="center"/>
        <w:rPr>
          <w:b/>
          <w:bCs/>
        </w:rPr>
      </w:pPr>
      <w:r>
        <w:br w:type="page"/>
      </w:r>
      <w:r w:rsidRPr="005D39EC">
        <w:rPr>
          <w:b/>
          <w:bCs/>
        </w:rPr>
        <w:lastRenderedPageBreak/>
        <w:t>Appendix 1</w:t>
      </w:r>
      <w:r w:rsidR="005D3E65">
        <w:rPr>
          <w:b/>
          <w:bCs/>
        </w:rPr>
        <w:t>A</w:t>
      </w:r>
      <w:r w:rsidR="00494A50">
        <w:rPr>
          <w:b/>
          <w:bCs/>
        </w:rPr>
        <w:t xml:space="preserve"> - </w:t>
      </w:r>
      <w:r w:rsidRPr="005D39EC">
        <w:rPr>
          <w:b/>
          <w:bCs/>
        </w:rPr>
        <w:t xml:space="preserve">Consolidated CRF Review Document </w:t>
      </w:r>
    </w:p>
    <w:p w:rsidR="00DE3EA2" w:rsidRDefault="00771451" w:rsidP="001844C6">
      <w:pPr>
        <w:pStyle w:val="N2-2ndBullet"/>
        <w:autoSpaceDE w:val="0"/>
        <w:spacing w:line="240" w:lineRule="auto"/>
        <w:jc w:val="center"/>
        <w:rPr>
          <w:noProof/>
        </w:rPr>
      </w:pPr>
      <w:bookmarkStart w:id="2" w:name="_GoBack"/>
      <w:r w:rsidRPr="00CA49C6">
        <w:rPr>
          <w:noProof/>
        </w:rPr>
        <w:drawing>
          <wp:inline distT="0" distB="0" distL="0" distR="0">
            <wp:extent cx="5657850" cy="7315200"/>
            <wp:effectExtent l="0" t="0" r="0" b="0"/>
            <wp:docPr id="1" name="Picture 1" descr="Page 1 of 3 of the Consolidated CRF Review Docu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7315200"/>
                    </a:xfrm>
                    <a:prstGeom prst="rect">
                      <a:avLst/>
                    </a:prstGeom>
                    <a:noFill/>
                    <a:ln>
                      <a:noFill/>
                    </a:ln>
                  </pic:spPr>
                </pic:pic>
              </a:graphicData>
            </a:graphic>
          </wp:inline>
        </w:drawing>
      </w:r>
      <w:bookmarkEnd w:id="2"/>
    </w:p>
    <w:p w:rsidR="00494A50" w:rsidRDefault="00494A50" w:rsidP="001844C6">
      <w:pPr>
        <w:pStyle w:val="N2-2ndBullet"/>
        <w:autoSpaceDE w:val="0"/>
        <w:spacing w:line="240" w:lineRule="auto"/>
        <w:jc w:val="center"/>
        <w:rPr>
          <w:noProof/>
        </w:rPr>
      </w:pPr>
    </w:p>
    <w:p w:rsidR="00494A50" w:rsidRDefault="00494A50" w:rsidP="00494A50">
      <w:pPr>
        <w:pStyle w:val="N2-2ndBullet"/>
        <w:autoSpaceDE w:val="0"/>
        <w:spacing w:after="120" w:line="240" w:lineRule="auto"/>
        <w:jc w:val="center"/>
        <w:rPr>
          <w:b/>
          <w:bCs/>
        </w:rPr>
      </w:pPr>
      <w:r>
        <w:br w:type="page"/>
      </w:r>
      <w:r w:rsidRPr="005D39EC">
        <w:rPr>
          <w:b/>
          <w:bCs/>
        </w:rPr>
        <w:lastRenderedPageBreak/>
        <w:t>Appendix 1</w:t>
      </w:r>
      <w:r>
        <w:rPr>
          <w:b/>
          <w:bCs/>
        </w:rPr>
        <w:t xml:space="preserve">B - </w:t>
      </w:r>
      <w:r w:rsidRPr="005D39EC">
        <w:rPr>
          <w:b/>
          <w:bCs/>
        </w:rPr>
        <w:t xml:space="preserve">Consolidated </w:t>
      </w:r>
      <w:r>
        <w:rPr>
          <w:b/>
          <w:bCs/>
        </w:rPr>
        <w:t>SVAR</w:t>
      </w:r>
      <w:r w:rsidRPr="005D39EC">
        <w:rPr>
          <w:b/>
          <w:bCs/>
        </w:rPr>
        <w:t xml:space="preserve"> Review Document </w:t>
      </w:r>
    </w:p>
    <w:p w:rsidR="001C6417" w:rsidRDefault="001C6417" w:rsidP="00494A50">
      <w:pPr>
        <w:pStyle w:val="N2-2ndBullet"/>
        <w:autoSpaceDE w:val="0"/>
        <w:spacing w:after="120" w:line="240" w:lineRule="auto"/>
        <w:jc w:val="center"/>
        <w:rPr>
          <w:b/>
          <w:bCs/>
        </w:rPr>
      </w:pPr>
    </w:p>
    <w:p w:rsidR="001C6417" w:rsidRPr="00494A50" w:rsidRDefault="00771451" w:rsidP="00494A50">
      <w:pPr>
        <w:pStyle w:val="N2-2ndBullet"/>
        <w:autoSpaceDE w:val="0"/>
        <w:spacing w:after="120" w:line="240" w:lineRule="auto"/>
        <w:jc w:val="center"/>
        <w:rPr>
          <w:b/>
          <w:bCs/>
        </w:rPr>
      </w:pPr>
      <w:r w:rsidRPr="00CA49C6">
        <w:rPr>
          <w:noProof/>
        </w:rPr>
        <w:drawing>
          <wp:inline distT="0" distB="0" distL="0" distR="0">
            <wp:extent cx="5610225" cy="7258050"/>
            <wp:effectExtent l="0" t="0" r="0" b="0"/>
            <wp:docPr id="2" name="Picture 1" descr="Page 2 of 3 of the Consolidated CRF Review Docu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7258050"/>
                    </a:xfrm>
                    <a:prstGeom prst="rect">
                      <a:avLst/>
                    </a:prstGeom>
                    <a:noFill/>
                    <a:ln>
                      <a:noFill/>
                    </a:ln>
                  </pic:spPr>
                </pic:pic>
              </a:graphicData>
            </a:graphic>
          </wp:inline>
        </w:drawing>
      </w:r>
    </w:p>
    <w:p w:rsidR="00550C41" w:rsidRDefault="00550C41" w:rsidP="001844C6">
      <w:pPr>
        <w:pStyle w:val="N2-2ndBullet"/>
        <w:autoSpaceDE w:val="0"/>
        <w:spacing w:line="240" w:lineRule="auto"/>
        <w:jc w:val="center"/>
        <w:rPr>
          <w:noProof/>
        </w:rPr>
      </w:pPr>
    </w:p>
    <w:p w:rsidR="00550C41" w:rsidRDefault="00771451" w:rsidP="001844C6">
      <w:pPr>
        <w:pStyle w:val="N2-2ndBullet"/>
        <w:autoSpaceDE w:val="0"/>
        <w:spacing w:line="240" w:lineRule="auto"/>
        <w:jc w:val="center"/>
      </w:pPr>
      <w:r w:rsidRPr="00CA49C6">
        <w:rPr>
          <w:noProof/>
        </w:rPr>
        <w:drawing>
          <wp:inline distT="0" distB="0" distL="0" distR="0">
            <wp:extent cx="5562600" cy="7210425"/>
            <wp:effectExtent l="0" t="0" r="0" b="0"/>
            <wp:docPr id="3" name="Picture 1" descr="Page 3 of 3 of the Consolidated CRF Review Docu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7210425"/>
                    </a:xfrm>
                    <a:prstGeom prst="rect">
                      <a:avLst/>
                    </a:prstGeom>
                    <a:noFill/>
                    <a:ln>
                      <a:noFill/>
                    </a:ln>
                  </pic:spPr>
                </pic:pic>
              </a:graphicData>
            </a:graphic>
          </wp:inline>
        </w:drawing>
      </w:r>
    </w:p>
    <w:sectPr w:rsidR="00550C41">
      <w:headerReference w:type="default" r:id="rId17"/>
      <w:footerReference w:type="default" r:id="rId18"/>
      <w:pgSz w:w="12240" w:h="15840"/>
      <w:pgMar w:top="1440" w:right="1440" w:bottom="1440" w:left="1440" w:header="576" w:footer="288"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2F" w:rsidRDefault="00C6102F">
      <w:pPr>
        <w:spacing w:line="240" w:lineRule="auto"/>
      </w:pPr>
      <w:r>
        <w:separator/>
      </w:r>
    </w:p>
  </w:endnote>
  <w:endnote w:type="continuationSeparator" w:id="0">
    <w:p w:rsidR="00C6102F" w:rsidRDefault="00C61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64" w:rsidRDefault="004E3064">
    <w:pPr>
      <w:pStyle w:val="Footer"/>
      <w:tabs>
        <w:tab w:val="center" w:pos="4680"/>
      </w:tabs>
      <w:spacing w:line="240" w:lineRule="auto"/>
      <w:rPr>
        <w:sz w:val="16"/>
        <w:szCs w:val="16"/>
      </w:rPr>
    </w:pPr>
    <w:r>
      <w:rPr>
        <w:sz w:val="16"/>
        <w:szCs w:val="16"/>
      </w:rPr>
      <w:t>SOP 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en-US"/>
      </w:rPr>
      <w:fldChar w:fldCharType="begin"/>
    </w:r>
    <w:r>
      <w:rPr>
        <w:sz w:val="16"/>
        <w:szCs w:val="16"/>
        <w:lang w:val="en-US"/>
      </w:rPr>
      <w:instrText xml:space="preserve"> PAGE </w:instrText>
    </w:r>
    <w:r>
      <w:rPr>
        <w:sz w:val="16"/>
        <w:szCs w:val="16"/>
        <w:lang w:val="en-US"/>
      </w:rPr>
      <w:fldChar w:fldCharType="separate"/>
    </w:r>
    <w:r w:rsidR="001B7A2D">
      <w:rPr>
        <w:noProof/>
        <w:sz w:val="16"/>
        <w:szCs w:val="16"/>
        <w:lang w:val="en-US"/>
      </w:rPr>
      <w:t>4</w:t>
    </w:r>
    <w:r>
      <w:rPr>
        <w:sz w:val="16"/>
        <w:szCs w:val="16"/>
        <w:lang w:val="en-US"/>
      </w:rPr>
      <w:fldChar w:fldCharType="end"/>
    </w:r>
  </w:p>
  <w:p w:rsidR="004E3064" w:rsidRDefault="004E3064">
    <w:pPr>
      <w:pStyle w:val="Footer"/>
      <w:tabs>
        <w:tab w:val="center" w:pos="4680"/>
        <w:tab w:val="right" w:pos="9360"/>
      </w:tabs>
      <w:spacing w:line="240" w:lineRule="auto"/>
      <w:rPr>
        <w:szCs w:val="22"/>
      </w:rPr>
    </w:pPr>
    <w:r>
      <w:rPr>
        <w:sz w:val="16"/>
        <w:szCs w:val="16"/>
      </w:rPr>
      <w:t xml:space="preserve">Version Date:  </w:t>
    </w:r>
    <w:r w:rsidR="007C7F38">
      <w:rPr>
        <w:sz w:val="16"/>
        <w:szCs w:val="16"/>
      </w:rPr>
      <w:t xml:space="preserve"> </w:t>
    </w:r>
    <w:r w:rsidR="00641C40">
      <w:rPr>
        <w:sz w:val="16"/>
        <w:szCs w:val="16"/>
      </w:rPr>
      <w:t>Octo</w:t>
    </w:r>
    <w:r w:rsidR="000C7897">
      <w:rPr>
        <w:sz w:val="16"/>
        <w:szCs w:val="16"/>
      </w:rPr>
      <w:t xml:space="preserve">ber </w:t>
    </w:r>
    <w:r w:rsidR="00641C40">
      <w:rPr>
        <w:sz w:val="16"/>
        <w:szCs w:val="16"/>
      </w:rPr>
      <w:t>15</w:t>
    </w:r>
    <w:r w:rsidR="000C7897">
      <w:rPr>
        <w:sz w:val="16"/>
        <w:szCs w:val="16"/>
      </w:rPr>
      <w:t>, 2020</w:t>
    </w:r>
    <w:r>
      <w:rPr>
        <w:sz w:val="16"/>
        <w:szCs w:val="16"/>
      </w:rPr>
      <w:tab/>
    </w:r>
  </w:p>
  <w:p w:rsidR="004E3064" w:rsidRDefault="004E3064">
    <w:pPr>
      <w:pStyle w:val="Footer"/>
      <w:spacing w:line="240" w:lineRule="auto"/>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2F" w:rsidRDefault="00C6102F">
      <w:pPr>
        <w:spacing w:line="240" w:lineRule="auto"/>
      </w:pPr>
      <w:r>
        <w:separator/>
      </w:r>
    </w:p>
  </w:footnote>
  <w:footnote w:type="continuationSeparator" w:id="0">
    <w:p w:rsidR="00C6102F" w:rsidRDefault="00C61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64" w:rsidRDefault="004E3064">
    <w:pPr>
      <w:pStyle w:val="Heading1"/>
    </w:pPr>
  </w:p>
  <w:p w:rsidR="004E3064" w:rsidRDefault="004E3064">
    <w:pPr>
      <w:pStyle w:val="Heading1"/>
      <w:pBdr>
        <w:bottom w:val="single" w:sz="8" w:space="1" w:color="000000"/>
      </w:pBdr>
      <w:spacing w:after="0"/>
    </w:pPr>
    <w:r>
      <w:t>DCP CONSORTIA 2012 STANDARD OPERATING PROCEDURES</w:t>
    </w:r>
  </w:p>
  <w:p w:rsidR="004E3064" w:rsidRDefault="004E3064">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eastAsia="Batang"/>
      </w:rPr>
    </w:lvl>
    <w:lvl w:ilvl="2">
      <w:start w:val="1"/>
      <w:numFmt w:val="lowerRoman"/>
      <w:lvlText w:val="%3."/>
      <w:lvlJc w:val="right"/>
      <w:pPr>
        <w:tabs>
          <w:tab w:val="num" w:pos="0"/>
        </w:tabs>
        <w:ind w:left="2160" w:hanging="180"/>
      </w:pPr>
      <w:rPr>
        <w:rFonts w:eastAsia="Batang"/>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440" w:hanging="360"/>
      </w:pPr>
      <w:rPr>
        <w:rFonts w:cs="Times New Roman"/>
        <w:b/>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lvl>
  </w:abstractNum>
  <w:abstractNum w:abstractNumId="5" w15:restartNumberingAfterBreak="0">
    <w:nsid w:val="6A9E6E64"/>
    <w:multiLevelType w:val="hybridMultilevel"/>
    <w:tmpl w:val="97E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1653D"/>
    <w:multiLevelType w:val="hybridMultilevel"/>
    <w:tmpl w:val="206670DC"/>
    <w:lvl w:ilvl="0" w:tplc="0BFE7E80">
      <w:start w:val="1"/>
      <w:numFmt w:val="bullet"/>
      <w:lvlText w:val=""/>
      <w:lvlJc w:val="left"/>
      <w:pPr>
        <w:ind w:hanging="361"/>
      </w:pPr>
      <w:rPr>
        <w:rFonts w:ascii="Symbol" w:eastAsia="Symbol" w:hAnsi="Symbol" w:hint="default"/>
        <w:sz w:val="22"/>
        <w:szCs w:val="22"/>
      </w:rPr>
    </w:lvl>
    <w:lvl w:ilvl="1" w:tplc="8FF664D2">
      <w:start w:val="1"/>
      <w:numFmt w:val="bullet"/>
      <w:lvlText w:val=""/>
      <w:lvlJc w:val="left"/>
      <w:pPr>
        <w:ind w:hanging="360"/>
      </w:pPr>
      <w:rPr>
        <w:rFonts w:ascii="Wingdings" w:eastAsia="Wingdings" w:hAnsi="Wingdings" w:hint="default"/>
        <w:sz w:val="22"/>
        <w:szCs w:val="22"/>
      </w:rPr>
    </w:lvl>
    <w:lvl w:ilvl="2" w:tplc="4984997C">
      <w:start w:val="1"/>
      <w:numFmt w:val="bullet"/>
      <w:lvlText w:val="•"/>
      <w:lvlJc w:val="left"/>
      <w:rPr>
        <w:rFonts w:hint="default"/>
      </w:rPr>
    </w:lvl>
    <w:lvl w:ilvl="3" w:tplc="A4F28958">
      <w:start w:val="1"/>
      <w:numFmt w:val="bullet"/>
      <w:lvlText w:val="•"/>
      <w:lvlJc w:val="left"/>
      <w:rPr>
        <w:rFonts w:hint="default"/>
      </w:rPr>
    </w:lvl>
    <w:lvl w:ilvl="4" w:tplc="6298B80E">
      <w:start w:val="1"/>
      <w:numFmt w:val="bullet"/>
      <w:lvlText w:val="•"/>
      <w:lvlJc w:val="left"/>
      <w:rPr>
        <w:rFonts w:hint="default"/>
      </w:rPr>
    </w:lvl>
    <w:lvl w:ilvl="5" w:tplc="72303B6C">
      <w:start w:val="1"/>
      <w:numFmt w:val="bullet"/>
      <w:lvlText w:val="•"/>
      <w:lvlJc w:val="left"/>
      <w:rPr>
        <w:rFonts w:hint="default"/>
      </w:rPr>
    </w:lvl>
    <w:lvl w:ilvl="6" w:tplc="2E8CFD82">
      <w:start w:val="1"/>
      <w:numFmt w:val="bullet"/>
      <w:lvlText w:val="•"/>
      <w:lvlJc w:val="left"/>
      <w:rPr>
        <w:rFonts w:hint="default"/>
      </w:rPr>
    </w:lvl>
    <w:lvl w:ilvl="7" w:tplc="FD1CA14C">
      <w:start w:val="1"/>
      <w:numFmt w:val="bullet"/>
      <w:lvlText w:val="•"/>
      <w:lvlJc w:val="left"/>
      <w:rPr>
        <w:rFonts w:hint="default"/>
      </w:rPr>
    </w:lvl>
    <w:lvl w:ilvl="8" w:tplc="7C9878A4">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A6DD2"/>
    <w:rsid w:val="000064AB"/>
    <w:rsid w:val="00017838"/>
    <w:rsid w:val="0002603E"/>
    <w:rsid w:val="000328FC"/>
    <w:rsid w:val="0003504A"/>
    <w:rsid w:val="00043A33"/>
    <w:rsid w:val="00045243"/>
    <w:rsid w:val="000C7897"/>
    <w:rsid w:val="000D456C"/>
    <w:rsid w:val="00101331"/>
    <w:rsid w:val="00131BEE"/>
    <w:rsid w:val="00154633"/>
    <w:rsid w:val="001566A4"/>
    <w:rsid w:val="00162EFE"/>
    <w:rsid w:val="00177134"/>
    <w:rsid w:val="0017735E"/>
    <w:rsid w:val="001844C6"/>
    <w:rsid w:val="001942A3"/>
    <w:rsid w:val="001A4FA8"/>
    <w:rsid w:val="001A6DD2"/>
    <w:rsid w:val="001B7A2D"/>
    <w:rsid w:val="001C6417"/>
    <w:rsid w:val="0021184F"/>
    <w:rsid w:val="00216BDA"/>
    <w:rsid w:val="00242058"/>
    <w:rsid w:val="00256396"/>
    <w:rsid w:val="002754C2"/>
    <w:rsid w:val="002768CB"/>
    <w:rsid w:val="002D3398"/>
    <w:rsid w:val="002E5D8F"/>
    <w:rsid w:val="0031217B"/>
    <w:rsid w:val="003175D2"/>
    <w:rsid w:val="00324F93"/>
    <w:rsid w:val="00352589"/>
    <w:rsid w:val="003558BC"/>
    <w:rsid w:val="003736F3"/>
    <w:rsid w:val="003A5135"/>
    <w:rsid w:val="003E6BD1"/>
    <w:rsid w:val="003F0899"/>
    <w:rsid w:val="003F777C"/>
    <w:rsid w:val="004044B0"/>
    <w:rsid w:val="00417639"/>
    <w:rsid w:val="0043304A"/>
    <w:rsid w:val="00440E38"/>
    <w:rsid w:val="0044353E"/>
    <w:rsid w:val="00454DD8"/>
    <w:rsid w:val="00461D65"/>
    <w:rsid w:val="00466E58"/>
    <w:rsid w:val="00483A69"/>
    <w:rsid w:val="00486CC9"/>
    <w:rsid w:val="00494A50"/>
    <w:rsid w:val="004A3C05"/>
    <w:rsid w:val="004B21BA"/>
    <w:rsid w:val="004C16F5"/>
    <w:rsid w:val="004C5B44"/>
    <w:rsid w:val="004E3064"/>
    <w:rsid w:val="00505AC4"/>
    <w:rsid w:val="00517504"/>
    <w:rsid w:val="00522E7A"/>
    <w:rsid w:val="00523BB4"/>
    <w:rsid w:val="00526B5E"/>
    <w:rsid w:val="00530191"/>
    <w:rsid w:val="0053668C"/>
    <w:rsid w:val="005473DB"/>
    <w:rsid w:val="00550C41"/>
    <w:rsid w:val="005565F3"/>
    <w:rsid w:val="005A62CF"/>
    <w:rsid w:val="005D39EC"/>
    <w:rsid w:val="005D3E65"/>
    <w:rsid w:val="005E484C"/>
    <w:rsid w:val="00600166"/>
    <w:rsid w:val="00610444"/>
    <w:rsid w:val="00632DD7"/>
    <w:rsid w:val="00641C40"/>
    <w:rsid w:val="00643F70"/>
    <w:rsid w:val="006542B5"/>
    <w:rsid w:val="006647EB"/>
    <w:rsid w:val="00684342"/>
    <w:rsid w:val="006C61DA"/>
    <w:rsid w:val="006E7198"/>
    <w:rsid w:val="007046B7"/>
    <w:rsid w:val="0073049E"/>
    <w:rsid w:val="007356D2"/>
    <w:rsid w:val="00771451"/>
    <w:rsid w:val="00773DA3"/>
    <w:rsid w:val="00795FBD"/>
    <w:rsid w:val="007C7F38"/>
    <w:rsid w:val="007F7FAA"/>
    <w:rsid w:val="0080116D"/>
    <w:rsid w:val="008145F9"/>
    <w:rsid w:val="00840B4D"/>
    <w:rsid w:val="00844D57"/>
    <w:rsid w:val="008558E2"/>
    <w:rsid w:val="0087379B"/>
    <w:rsid w:val="008A4F0D"/>
    <w:rsid w:val="008A5137"/>
    <w:rsid w:val="008E6384"/>
    <w:rsid w:val="008E74B2"/>
    <w:rsid w:val="008F51C9"/>
    <w:rsid w:val="008F74F1"/>
    <w:rsid w:val="009013E3"/>
    <w:rsid w:val="009239CE"/>
    <w:rsid w:val="00933C85"/>
    <w:rsid w:val="00946A38"/>
    <w:rsid w:val="00950E2C"/>
    <w:rsid w:val="00960F4F"/>
    <w:rsid w:val="00976139"/>
    <w:rsid w:val="00977F34"/>
    <w:rsid w:val="00982C47"/>
    <w:rsid w:val="009B118F"/>
    <w:rsid w:val="009D7EFD"/>
    <w:rsid w:val="009E1343"/>
    <w:rsid w:val="009E3B88"/>
    <w:rsid w:val="00A27C87"/>
    <w:rsid w:val="00A40BCA"/>
    <w:rsid w:val="00A94992"/>
    <w:rsid w:val="00AC211B"/>
    <w:rsid w:val="00AC65FD"/>
    <w:rsid w:val="00B0079D"/>
    <w:rsid w:val="00B00D42"/>
    <w:rsid w:val="00B336E7"/>
    <w:rsid w:val="00B4298D"/>
    <w:rsid w:val="00B92C1A"/>
    <w:rsid w:val="00BF76A5"/>
    <w:rsid w:val="00C113E8"/>
    <w:rsid w:val="00C244AF"/>
    <w:rsid w:val="00C27566"/>
    <w:rsid w:val="00C30941"/>
    <w:rsid w:val="00C4495D"/>
    <w:rsid w:val="00C50146"/>
    <w:rsid w:val="00C6102F"/>
    <w:rsid w:val="00C62BD0"/>
    <w:rsid w:val="00C644CB"/>
    <w:rsid w:val="00C93C57"/>
    <w:rsid w:val="00CD5B7C"/>
    <w:rsid w:val="00CE2056"/>
    <w:rsid w:val="00CE30A2"/>
    <w:rsid w:val="00CF15CF"/>
    <w:rsid w:val="00D00209"/>
    <w:rsid w:val="00D105FA"/>
    <w:rsid w:val="00D32B62"/>
    <w:rsid w:val="00D769C5"/>
    <w:rsid w:val="00DA7C02"/>
    <w:rsid w:val="00DB3DAE"/>
    <w:rsid w:val="00DD54A5"/>
    <w:rsid w:val="00DD58AD"/>
    <w:rsid w:val="00DE3EA2"/>
    <w:rsid w:val="00DE4FBF"/>
    <w:rsid w:val="00E047D4"/>
    <w:rsid w:val="00E35AEF"/>
    <w:rsid w:val="00E618B1"/>
    <w:rsid w:val="00E635C1"/>
    <w:rsid w:val="00E6595F"/>
    <w:rsid w:val="00E70A33"/>
    <w:rsid w:val="00EC262B"/>
    <w:rsid w:val="00ED5674"/>
    <w:rsid w:val="00F11AC5"/>
    <w:rsid w:val="00F221DA"/>
    <w:rsid w:val="00F27472"/>
    <w:rsid w:val="00F37B42"/>
    <w:rsid w:val="00F40195"/>
    <w:rsid w:val="00F81832"/>
    <w:rsid w:val="00FA635C"/>
    <w:rsid w:val="00FC1CAA"/>
    <w:rsid w:val="00FE1B91"/>
    <w:rsid w:val="00FF00D7"/>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3829B84-4A1E-4D12-A8A0-B4BB4834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jc w:val="both"/>
    </w:pPr>
    <w:rPr>
      <w:sz w:val="22"/>
      <w:lang w:eastAsia="ar-SA"/>
    </w:rPr>
  </w:style>
  <w:style w:type="paragraph" w:styleId="Heading1">
    <w:name w:val="heading 1"/>
    <w:basedOn w:val="Normal"/>
    <w:next w:val="P1-StandPara"/>
    <w:qFormat/>
    <w:pPr>
      <w:keepNext/>
      <w:numPr>
        <w:numId w:val="1"/>
      </w:numPr>
      <w:spacing w:after="480" w:line="240" w:lineRule="auto"/>
      <w:jc w:val="left"/>
      <w:outlineLvl w:val="0"/>
    </w:pPr>
    <w:rPr>
      <w:b/>
    </w:rPr>
  </w:style>
  <w:style w:type="paragraph" w:styleId="Heading2">
    <w:name w:val="heading 2"/>
    <w:basedOn w:val="Normal"/>
    <w:next w:val="P1-StandPara"/>
    <w:uiPriority w:val="1"/>
    <w:qFormat/>
    <w:pPr>
      <w:numPr>
        <w:ilvl w:val="1"/>
        <w:numId w:val="1"/>
      </w:numPr>
      <w:spacing w:after="480" w:line="240" w:lineRule="auto"/>
      <w:jc w:val="left"/>
      <w:outlineLvl w:val="1"/>
    </w:pPr>
    <w:rPr>
      <w:b/>
      <w:sz w:val="28"/>
      <w:szCs w:val="28"/>
    </w:rPr>
  </w:style>
  <w:style w:type="paragraph" w:styleId="Heading3">
    <w:name w:val="heading 3"/>
    <w:basedOn w:val="Normal"/>
    <w:next w:val="P1-StandPara"/>
    <w:qFormat/>
    <w:pPr>
      <w:numPr>
        <w:ilvl w:val="2"/>
        <w:numId w:val="1"/>
      </w:numPr>
      <w:spacing w:after="60"/>
      <w:outlineLvl w:val="2"/>
    </w:pPr>
    <w:rPr>
      <w:b/>
      <w:szCs w:val="22"/>
      <w:u w:val="single"/>
    </w:rPr>
  </w:style>
  <w:style w:type="paragraph" w:styleId="Heading4">
    <w:name w:val="heading 4"/>
    <w:basedOn w:val="Normal"/>
    <w:next w:val="P1-StandPara"/>
    <w:qFormat/>
    <w:pPr>
      <w:keepNext/>
      <w:numPr>
        <w:ilvl w:val="3"/>
        <w:numId w:val="1"/>
      </w:numPr>
      <w:spacing w:after="360" w:line="360" w:lineRule="atLeast"/>
      <w:ind w:left="1152" w:hanging="1152"/>
      <w:outlineLvl w:val="3"/>
    </w:pPr>
    <w:rPr>
      <w:b/>
    </w:rPr>
  </w:style>
  <w:style w:type="paragraph" w:styleId="Heading5">
    <w:name w:val="heading 5"/>
    <w:basedOn w:val="Normal"/>
    <w:next w:val="Normal"/>
    <w:qFormat/>
    <w:pPr>
      <w:keepLines/>
      <w:numPr>
        <w:ilvl w:val="4"/>
        <w:numId w:val="1"/>
      </w:numPr>
      <w:spacing w:before="360" w:line="360" w:lineRule="atLeast"/>
      <w:jc w:val="center"/>
      <w:outlineLvl w:val="4"/>
    </w:pPr>
  </w:style>
  <w:style w:type="paragraph" w:styleId="Heading6">
    <w:name w:val="heading 6"/>
    <w:basedOn w:val="Normal"/>
    <w:next w:val="Normal"/>
    <w:qFormat/>
    <w:pPr>
      <w:keepNext/>
      <w:numPr>
        <w:ilvl w:val="5"/>
        <w:numId w:val="1"/>
      </w:numPr>
      <w:spacing w:before="240"/>
      <w:jc w:val="center"/>
      <w:outlineLvl w:val="5"/>
    </w:pPr>
    <w:rPr>
      <w:b/>
      <w:cap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keepNext/>
      <w:widowControl w:val="0"/>
      <w:numPr>
        <w:ilvl w:val="7"/>
        <w:numId w:val="1"/>
      </w:numPr>
      <w:jc w:val="center"/>
      <w:outlineLvl w:val="7"/>
    </w:pPr>
    <w:rPr>
      <w:b/>
      <w:sz w:val="24"/>
    </w:rPr>
  </w:style>
  <w:style w:type="paragraph" w:styleId="Heading9">
    <w:name w:val="heading 9"/>
    <w:basedOn w:val="Normal"/>
    <w:next w:val="Normal"/>
    <w:qFormat/>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2z1">
    <w:name w:val="WW8Num2z1"/>
    <w:rPr>
      <w:rFonts w:eastAsia="Batang"/>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b/>
    </w:rPr>
  </w:style>
  <w:style w:type="character" w:customStyle="1" w:styleId="WW8Num5z0">
    <w:name w:val="WW8Num5z0"/>
  </w:style>
  <w:style w:type="character" w:customStyle="1" w:styleId="WW8Num2z2">
    <w:name w:val="WW8Num2z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cs="Times New Roman"/>
    </w:rPr>
  </w:style>
  <w:style w:type="character" w:customStyle="1" w:styleId="WW8Num12z0">
    <w:name w:val="WW8Num12z0"/>
    <w:rPr>
      <w:rFonts w:ascii="Wingdings" w:hAnsi="Wingdings" w:cs="Wingdings" w:hint="default"/>
      <w:sz w:val="16"/>
    </w:rPr>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rPr>
  </w:style>
  <w:style w:type="character" w:customStyle="1" w:styleId="WW8Num19z0">
    <w:name w:val="WW8Num19z0"/>
    <w:rPr>
      <w:rFonts w:cs="Times New Roman"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style>
  <w:style w:type="character" w:customStyle="1" w:styleId="WW8Num20z1">
    <w:name w:val="WW8Num20z1"/>
    <w:rPr>
      <w:rFonts w:eastAsia="Batang"/>
    </w:rPr>
  </w:style>
  <w:style w:type="character" w:customStyle="1" w:styleId="WW8Num20z2">
    <w:name w:val="WW8Num20z2"/>
    <w:rPr>
      <w:rFonts w:eastAsia="Batang"/>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6">
    <w:name w:val="WW8Num21z6"/>
    <w:rPr>
      <w:rFonts w:ascii="Symbol" w:hAnsi="Symbol" w:cs="Symbol" w:hint="default"/>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3z1">
    <w:name w:val="WW8Num23z1"/>
    <w:rPr>
      <w:rFonts w:cs="Times New Roman"/>
    </w:rPr>
  </w:style>
  <w:style w:type="character" w:customStyle="1" w:styleId="WW8Num24z0">
    <w:name w:val="WW8Num24z0"/>
    <w:rPr>
      <w:rFonts w:cs="Times New Roman" w:hint="default"/>
      <w:b w:val="0"/>
    </w:rPr>
  </w:style>
  <w:style w:type="character" w:customStyle="1" w:styleId="WW8Num24z1">
    <w:name w:val="WW8Num24z1"/>
    <w:rPr>
      <w:rFonts w:cs="Times New Roman"/>
    </w:rPr>
  </w:style>
  <w:style w:type="character" w:customStyle="1" w:styleId="WW8Num25z0">
    <w:name w:val="WW8Num25z0"/>
    <w:rPr>
      <w:rFonts w:cs="Times New Roman"/>
      <w:b w:val="0"/>
    </w:rPr>
  </w:style>
  <w:style w:type="character" w:customStyle="1" w:styleId="WW8Num25z1">
    <w:name w:val="WW8Num25z1"/>
    <w:rPr>
      <w:rFonts w:cs="Times New Roman"/>
    </w:rPr>
  </w:style>
  <w:style w:type="character" w:customStyle="1" w:styleId="WW8Num26z0">
    <w:name w:val="WW8Num26z0"/>
    <w:rPr>
      <w:rFonts w:cs="Times New Roman"/>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uiPriority w:val="1"/>
    <w:rPr>
      <w:rFonts w:ascii="Cambria" w:eastAsia="Times New Roman" w:hAnsi="Cambria" w:cs="Times New Roman"/>
      <w:b/>
      <w:bCs/>
      <w:i/>
      <w:iCs/>
      <w:sz w:val="28"/>
      <w:szCs w:val="28"/>
    </w:rPr>
  </w:style>
  <w:style w:type="character" w:customStyle="1" w:styleId="Heading3Char">
    <w:name w:val="Heading 3 Char"/>
    <w:rPr>
      <w:b/>
      <w:sz w:val="22"/>
      <w:szCs w:val="22"/>
      <w:u w:val="single"/>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BodyTextIndent2Char">
    <w:name w:val="Body Text Indent 2 Char"/>
    <w:rPr>
      <w:sz w:val="22"/>
    </w:rPr>
  </w:style>
  <w:style w:type="character" w:customStyle="1" w:styleId="FootnoteTextChar">
    <w:name w:val="Footnote Text Char"/>
    <w:basedOn w:val="DefaultParagraphFont1"/>
  </w:style>
  <w:style w:type="character" w:customStyle="1" w:styleId="FooterChar">
    <w:name w:val="Footer Char"/>
    <w:rPr>
      <w:sz w:val="22"/>
    </w:rPr>
  </w:style>
  <w:style w:type="character" w:customStyle="1" w:styleId="HeaderChar">
    <w:name w:val="Header Char"/>
    <w:rPr>
      <w:sz w:val="16"/>
    </w:rPr>
  </w:style>
  <w:style w:type="character" w:customStyle="1" w:styleId="BodyTextIndentChar">
    <w:name w:val="Body Text Indent Char"/>
    <w:rPr>
      <w:sz w:val="22"/>
    </w:rPr>
  </w:style>
  <w:style w:type="character" w:styleId="PageNumber">
    <w:name w:val="page number"/>
    <w:rPr>
      <w:rFonts w:cs="Times New Roman"/>
    </w:rPr>
  </w:style>
  <w:style w:type="character" w:customStyle="1" w:styleId="TitleChar">
    <w:name w:val="Title Char"/>
    <w:rPr>
      <w:rFonts w:ascii="Cambria" w:eastAsia="Times New Roman" w:hAnsi="Cambria" w:cs="Times New Roman"/>
      <w:b/>
      <w:bCs/>
      <w:kern w:val="1"/>
      <w:sz w:val="32"/>
      <w:szCs w:val="32"/>
    </w:rPr>
  </w:style>
  <w:style w:type="character" w:customStyle="1" w:styleId="SubtitleChar">
    <w:name w:val="Subtitle Char"/>
    <w:rPr>
      <w:rFonts w:ascii="Cambria" w:eastAsia="Times New Roman" w:hAnsi="Cambria" w:cs="Times New Roman"/>
      <w:sz w:val="24"/>
      <w:szCs w:val="24"/>
    </w:rPr>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basedOn w:val="DefaultParagraphFont1"/>
  </w:style>
  <w:style w:type="character" w:customStyle="1" w:styleId="BodyTextChar">
    <w:name w:val="Body Text Char"/>
    <w:rPr>
      <w:sz w:val="22"/>
    </w:rPr>
  </w:style>
  <w:style w:type="character" w:customStyle="1" w:styleId="BalloonTextChar">
    <w:name w:val="Balloon Text Char"/>
    <w:rPr>
      <w:sz w:val="0"/>
      <w:szCs w:val="0"/>
    </w:rPr>
  </w:style>
  <w:style w:type="character" w:customStyle="1" w:styleId="CommentSubjectChar">
    <w:name w:val="Comment Subject Char"/>
    <w:rPr>
      <w:b/>
      <w:bCs/>
    </w:rPr>
  </w:style>
  <w:style w:type="character" w:styleId="Strong">
    <w:name w:val="Strong"/>
    <w:qFormat/>
    <w:rPr>
      <w:b/>
    </w:rPr>
  </w:style>
  <w:style w:type="character" w:customStyle="1" w:styleId="SL-FlLftSglChar">
    <w:name w:val="SL-Fl Lft Sgl Char"/>
    <w:rPr>
      <w:sz w:val="22"/>
      <w:lang w:val="en-US" w:eastAsia="ar-SA" w:bidi="ar-SA"/>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240"/>
      <w:ind w:left="1080"/>
    </w:pPr>
    <w:rPr>
      <w:rFonts w:ascii="Arial" w:hAnsi="Arial" w:cs="Arial"/>
      <w:spacing w:val="-5"/>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2">
    <w:name w:val="Body Text Indent 2"/>
    <w:basedOn w:val="Normal"/>
    <w:pPr>
      <w:spacing w:line="240" w:lineRule="auto"/>
      <w:ind w:left="360" w:hanging="360"/>
      <w:jc w:val="left"/>
    </w:pPr>
    <w:rPr>
      <w:i/>
    </w:rPr>
  </w:style>
  <w:style w:type="paragraph" w:customStyle="1" w:styleId="C1-CtrBoldHd">
    <w:name w:val="C1-Ctr BoldHd"/>
    <w:pPr>
      <w:keepNext/>
      <w:suppressAutoHyphens/>
      <w:spacing w:after="720" w:line="240" w:lineRule="atLeast"/>
      <w:jc w:val="center"/>
    </w:pPr>
    <w:rPr>
      <w:b/>
      <w:caps/>
      <w:sz w:val="22"/>
      <w:lang w:eastAsia="ar-SA"/>
    </w:rPr>
  </w:style>
  <w:style w:type="paragraph" w:customStyle="1" w:styleId="C2-CtrSglSp">
    <w:name w:val="C2-Ctr Sgl Sp"/>
    <w:pPr>
      <w:keepLines/>
      <w:suppressAutoHyphens/>
      <w:spacing w:line="240" w:lineRule="atLeast"/>
      <w:jc w:val="center"/>
    </w:pPr>
    <w:rPr>
      <w:sz w:val="22"/>
      <w:lang w:eastAsia="ar-SA"/>
    </w:rPr>
  </w:style>
  <w:style w:type="paragraph" w:customStyle="1" w:styleId="C3-CtrSp12">
    <w:name w:val="C3-Ctr Sp&amp;1/2"/>
    <w:pPr>
      <w:keepLines/>
      <w:suppressAutoHyphens/>
      <w:spacing w:line="360" w:lineRule="atLeast"/>
      <w:jc w:val="center"/>
    </w:pPr>
    <w:rPr>
      <w:sz w:val="22"/>
      <w:lang w:eastAsia="ar-SA"/>
    </w:rPr>
  </w:style>
  <w:style w:type="paragraph" w:customStyle="1" w:styleId="E1-Equation">
    <w:name w:val="E1-Equation"/>
    <w:pPr>
      <w:tabs>
        <w:tab w:val="center" w:pos="4680"/>
        <w:tab w:val="right" w:pos="9360"/>
      </w:tabs>
      <w:suppressAutoHyphens/>
      <w:spacing w:line="240" w:lineRule="atLeast"/>
      <w:jc w:val="both"/>
    </w:pPr>
    <w:rPr>
      <w:sz w:val="22"/>
      <w:lang w:eastAsia="ar-SA"/>
    </w:rPr>
  </w:style>
  <w:style w:type="paragraph" w:customStyle="1" w:styleId="E2-Equation">
    <w:name w:val="E2-Equation"/>
    <w:basedOn w:val="E1-Equation"/>
    <w:pPr>
      <w:ind w:left="1728" w:hanging="1728"/>
    </w:pPr>
  </w:style>
  <w:style w:type="paragraph" w:styleId="FootnoteText">
    <w:name w:val="footnote text"/>
    <w:basedOn w:val="Normal"/>
    <w:pPr>
      <w:spacing w:before="120" w:line="200" w:lineRule="atLeast"/>
      <w:ind w:left="115" w:hanging="115"/>
    </w:pPr>
    <w:rPr>
      <w:sz w:val="16"/>
    </w:rPr>
  </w:style>
  <w:style w:type="paragraph" w:customStyle="1" w:styleId="L1-FlLSp12">
    <w:name w:val="L1-FlL Sp&amp;1/2"/>
    <w:pPr>
      <w:tabs>
        <w:tab w:val="left" w:pos="1152"/>
      </w:tabs>
      <w:suppressAutoHyphens/>
      <w:spacing w:line="360" w:lineRule="atLeast"/>
      <w:jc w:val="both"/>
    </w:pPr>
    <w:rPr>
      <w:sz w:val="22"/>
      <w:lang w:eastAsia="ar-SA"/>
    </w:rPr>
  </w:style>
  <w:style w:type="paragraph" w:customStyle="1" w:styleId="N0-FlLftBullet">
    <w:name w:val="N0-Fl Lft Bullet"/>
    <w:basedOn w:val="Normal"/>
    <w:pPr>
      <w:spacing w:after="240"/>
      <w:ind w:left="576" w:hanging="576"/>
    </w:pPr>
  </w:style>
  <w:style w:type="paragraph" w:customStyle="1" w:styleId="N1-1stBullet">
    <w:name w:val="N1-1st Bullet"/>
    <w:basedOn w:val="Normal"/>
    <w:pPr>
      <w:spacing w:after="240"/>
      <w:ind w:left="1152" w:hanging="576"/>
    </w:pPr>
  </w:style>
  <w:style w:type="paragraph" w:customStyle="1" w:styleId="N2-2ndBullet">
    <w:name w:val="N2-2nd Bullet"/>
    <w:basedOn w:val="Normal"/>
    <w:pPr>
      <w:spacing w:after="240"/>
    </w:pPr>
  </w:style>
  <w:style w:type="paragraph" w:customStyle="1" w:styleId="N3-3rdBullet">
    <w:name w:val="N3-3rd Bullet"/>
    <w:basedOn w:val="Normal"/>
    <w:pPr>
      <w:spacing w:after="240"/>
      <w:ind w:left="2304" w:hanging="576"/>
    </w:pPr>
  </w:style>
  <w:style w:type="paragraph" w:customStyle="1" w:styleId="N4-4thBullet">
    <w:name w:val="N4-4th Bullet"/>
    <w:basedOn w:val="Normal"/>
    <w:pPr>
      <w:spacing w:after="240"/>
      <w:ind w:left="2880" w:hanging="576"/>
    </w:pPr>
  </w:style>
  <w:style w:type="paragraph" w:customStyle="1" w:styleId="N5-5thBullet">
    <w:name w:val="N5-5th Bullet"/>
    <w:basedOn w:val="Normal"/>
    <w:pPr>
      <w:spacing w:after="240"/>
      <w:ind w:left="3456" w:hanging="576"/>
    </w:pPr>
  </w:style>
  <w:style w:type="paragraph" w:customStyle="1" w:styleId="N6-DateInd">
    <w:name w:val="N6-Date Ind."/>
    <w:basedOn w:val="Normal"/>
    <w:pPr>
      <w:ind w:left="5400"/>
    </w:pPr>
  </w:style>
  <w:style w:type="paragraph" w:customStyle="1" w:styleId="N7-3Block">
    <w:name w:val="N7-3&quot; Block"/>
    <w:basedOn w:val="Normal"/>
    <w:pPr>
      <w:ind w:left="1152" w:right="1152"/>
    </w:pPr>
  </w:style>
  <w:style w:type="paragraph" w:customStyle="1" w:styleId="N8-QxQBlock">
    <w:name w:val="N8-QxQ Block"/>
    <w:pPr>
      <w:tabs>
        <w:tab w:val="left" w:pos="1152"/>
      </w:tabs>
      <w:suppressAutoHyphens/>
      <w:spacing w:after="360" w:line="360" w:lineRule="atLeast"/>
      <w:ind w:left="1152" w:hanging="1152"/>
      <w:jc w:val="both"/>
    </w:pPr>
    <w:rPr>
      <w:sz w:val="22"/>
      <w:lang w:eastAsia="ar-SA"/>
    </w:rPr>
  </w:style>
  <w:style w:type="paragraph" w:customStyle="1" w:styleId="P1-StandPara">
    <w:name w:val="P1-Stand Para"/>
    <w:pPr>
      <w:suppressAutoHyphens/>
      <w:spacing w:line="360" w:lineRule="atLeast"/>
      <w:ind w:firstLine="1152"/>
      <w:jc w:val="both"/>
    </w:pPr>
    <w:rPr>
      <w:sz w:val="22"/>
      <w:lang w:eastAsia="ar-SA"/>
    </w:rPr>
  </w:style>
  <w:style w:type="paragraph" w:customStyle="1" w:styleId="Q1-BestFinQ">
    <w:name w:val="Q1-Best/Fin Q"/>
    <w:pPr>
      <w:tabs>
        <w:tab w:val="left" w:pos="1152"/>
      </w:tabs>
      <w:suppressAutoHyphens/>
      <w:spacing w:after="360" w:line="240" w:lineRule="atLeast"/>
      <w:ind w:left="1152" w:hanging="1152"/>
      <w:jc w:val="both"/>
    </w:pPr>
    <w:rPr>
      <w:b/>
      <w:sz w:val="22"/>
      <w:lang w:eastAsia="ar-SA"/>
    </w:rPr>
  </w:style>
  <w:style w:type="paragraph" w:customStyle="1" w:styleId="SH-SglSpHead">
    <w:name w:val="SH-Sgl Sp Head"/>
    <w:pPr>
      <w:keepNext/>
      <w:tabs>
        <w:tab w:val="left" w:pos="576"/>
      </w:tabs>
      <w:suppressAutoHyphens/>
      <w:spacing w:line="240" w:lineRule="atLeast"/>
      <w:ind w:left="576" w:hanging="576"/>
    </w:pPr>
    <w:rPr>
      <w:b/>
      <w:sz w:val="22"/>
      <w:lang w:eastAsia="ar-SA"/>
    </w:rPr>
  </w:style>
  <w:style w:type="paragraph" w:customStyle="1" w:styleId="SL-FlLftSgl">
    <w:name w:val="SL-Fl Lft Sgl"/>
    <w:pPr>
      <w:suppressAutoHyphens/>
      <w:spacing w:line="240" w:lineRule="atLeast"/>
      <w:jc w:val="both"/>
    </w:pPr>
    <w:rPr>
      <w:sz w:val="22"/>
      <w:lang w:eastAsia="ar-SA"/>
    </w:rPr>
  </w:style>
  <w:style w:type="paragraph" w:customStyle="1" w:styleId="SP-SglSpPara">
    <w:name w:val="SP-Sgl Sp Para"/>
    <w:pPr>
      <w:tabs>
        <w:tab w:val="left" w:pos="576"/>
      </w:tabs>
      <w:suppressAutoHyphens/>
      <w:spacing w:line="240" w:lineRule="atLeast"/>
      <w:ind w:firstLine="576"/>
      <w:jc w:val="both"/>
    </w:pPr>
    <w:rPr>
      <w:sz w:val="22"/>
      <w:lang w:eastAsia="ar-SA"/>
    </w:rPr>
  </w:style>
  <w:style w:type="paragraph" w:customStyle="1" w:styleId="T0-ChapPgHd">
    <w:name w:val="T0-Chap/Pg Hd"/>
    <w:pPr>
      <w:tabs>
        <w:tab w:val="left" w:pos="8640"/>
      </w:tabs>
      <w:suppressAutoHyphens/>
      <w:spacing w:line="240" w:lineRule="atLeast"/>
      <w:jc w:val="both"/>
    </w:pPr>
    <w:rPr>
      <w:sz w:val="22"/>
      <w:u w:val="words"/>
      <w:lang w:eastAsia="ar-SA"/>
    </w:rPr>
  </w:style>
  <w:style w:type="paragraph" w:styleId="TOC1">
    <w:name w:val="toc 1"/>
    <w:basedOn w:val="Normal"/>
    <w:pPr>
      <w:ind w:left="288"/>
      <w:jc w:val="left"/>
    </w:pPr>
    <w:rPr>
      <w:caps/>
    </w:rPr>
  </w:style>
  <w:style w:type="paragraph" w:styleId="TOC2">
    <w:name w:val="toc 2"/>
    <w:basedOn w:val="Normal"/>
    <w:pPr>
      <w:ind w:left="2160" w:hanging="720"/>
      <w:jc w:val="left"/>
    </w:pPr>
  </w:style>
  <w:style w:type="paragraph" w:styleId="TOC3">
    <w:name w:val="toc 3"/>
    <w:basedOn w:val="Normal"/>
    <w:pPr>
      <w:ind w:left="3024" w:hanging="864"/>
      <w:jc w:val="left"/>
    </w:pPr>
  </w:style>
  <w:style w:type="paragraph" w:styleId="TOC4">
    <w:name w:val="toc 4"/>
    <w:basedOn w:val="Normal"/>
    <w:pPr>
      <w:ind w:left="3888" w:hanging="864"/>
      <w:jc w:val="left"/>
    </w:pPr>
  </w:style>
  <w:style w:type="paragraph" w:styleId="TOC5">
    <w:name w:val="toc 5"/>
    <w:basedOn w:val="TOC1"/>
    <w:rPr>
      <w:caps w:val="0"/>
    </w:rPr>
  </w:style>
  <w:style w:type="paragraph" w:customStyle="1" w:styleId="TT-TableTitle">
    <w:name w:val="TT-Table Title"/>
    <w:pPr>
      <w:tabs>
        <w:tab w:val="left" w:pos="1152"/>
      </w:tabs>
      <w:suppressAutoHyphens/>
      <w:spacing w:line="240" w:lineRule="atLeast"/>
      <w:ind w:left="1152" w:hanging="1152"/>
    </w:pPr>
    <w:rPr>
      <w:sz w:val="22"/>
      <w:lang w:eastAsia="ar-SA"/>
    </w:rPr>
  </w:style>
  <w:style w:type="paragraph" w:styleId="Footer">
    <w:name w:val="footer"/>
    <w:basedOn w:val="Normal"/>
  </w:style>
  <w:style w:type="paragraph" w:styleId="Header">
    <w:name w:val="header"/>
    <w:basedOn w:val="Normal"/>
    <w:rPr>
      <w:sz w:val="16"/>
    </w:rPr>
  </w:style>
  <w:style w:type="paragraph" w:styleId="BodyTextIndent">
    <w:name w:val="Body Text Indent"/>
    <w:basedOn w:val="Normal"/>
    <w:pPr>
      <w:ind w:left="720"/>
    </w:pPr>
    <w:rPr>
      <w:sz w:val="24"/>
    </w:rPr>
  </w:style>
  <w:style w:type="paragraph" w:styleId="Title">
    <w:name w:val="Title"/>
    <w:basedOn w:val="Normal"/>
    <w:next w:val="Subtitle"/>
    <w:qFormat/>
    <w:pPr>
      <w:jc w:val="center"/>
    </w:pPr>
    <w:rPr>
      <w:b/>
      <w:sz w:val="24"/>
    </w:rPr>
  </w:style>
  <w:style w:type="paragraph" w:styleId="Subtitle">
    <w:name w:val="Subtitle"/>
    <w:basedOn w:val="Normal"/>
    <w:next w:val="BodyText"/>
    <w:qFormat/>
    <w:pPr>
      <w:jc w:val="center"/>
    </w:pPr>
    <w:rPr>
      <w:b/>
      <w:sz w:val="24"/>
    </w:rPr>
  </w:style>
  <w:style w:type="paragraph" w:styleId="CommentText">
    <w:name w:val="annotation text"/>
    <w:basedOn w:val="Normal"/>
    <w:rPr>
      <w:sz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NormalWeb">
    <w:name w:val="Normal (Web)"/>
    <w:basedOn w:val="Normal"/>
    <w:pPr>
      <w:spacing w:before="240" w:after="240" w:line="240" w:lineRule="auto"/>
      <w:jc w:val="left"/>
    </w:pPr>
    <w:rPr>
      <w:szCs w:val="22"/>
    </w:rPr>
  </w:style>
  <w:style w:type="paragraph" w:styleId="ListParagraph">
    <w:name w:val="List Paragraph"/>
    <w:basedOn w:val="Normal"/>
    <w:uiPriority w:val="34"/>
    <w:qFormat/>
    <w:pPr>
      <w:ind w:left="720"/>
    </w:pPr>
  </w:style>
  <w:style w:type="character" w:styleId="UnresolvedMention">
    <w:name w:val="Unresolved Mention"/>
    <w:uiPriority w:val="99"/>
    <w:semiHidden/>
    <w:unhideWhenUsed/>
    <w:rsid w:val="00D105FA"/>
    <w:rPr>
      <w:color w:val="605E5C"/>
      <w:shd w:val="clear" w:color="auto" w:fill="E1DFDD"/>
    </w:rPr>
  </w:style>
  <w:style w:type="character" w:styleId="PlaceholderText">
    <w:name w:val="Placeholder Text"/>
    <w:uiPriority w:val="99"/>
    <w:semiHidden/>
    <w:rsid w:val="000328FC"/>
    <w:rPr>
      <w:color w:val="808080"/>
    </w:rPr>
  </w:style>
  <w:style w:type="table" w:styleId="TableGrid">
    <w:name w:val="Table Grid"/>
    <w:basedOn w:val="TableNormal"/>
    <w:uiPriority w:val="59"/>
    <w:rsid w:val="000328F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3E3"/>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DCPC2012_CRFTemplates.doc" TargetMode="External"/><Relationship Id="rId13" Type="http://schemas.openxmlformats.org/officeDocument/2006/relationships/hyperlink" Target="mailto:dcphelpdesk@dcpa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cancer.gov/sites/default/files/uploads/clinical_trial/DCP-Acronym-List.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nci.nih.gov/display/CRF2/CRF+Harmonization+and+Standardizat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revention.cancer.gov/sites/default/files/uploads/clinical_trial/MDS-Instructions-Guideline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vention.cancer.gov/sites/default/files/uploads/clinical_trial/DCPC2012_CRFCompletionGuide.doc"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D531-1C77-4F09-9349-3D146AA4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
  <LinksUpToDate>false</LinksUpToDate>
  <CharactersWithSpaces>8300</CharactersWithSpaces>
  <SharedDoc>false</SharedDoc>
  <HLinks>
    <vt:vector size="42" baseType="variant">
      <vt:variant>
        <vt:i4>5308520</vt:i4>
      </vt:variant>
      <vt:variant>
        <vt:i4>18</vt:i4>
      </vt:variant>
      <vt:variant>
        <vt:i4>0</vt:i4>
      </vt:variant>
      <vt:variant>
        <vt:i4>5</vt:i4>
      </vt:variant>
      <vt:variant>
        <vt:lpwstr>mailto:dcphelpdesk@dcpais.com</vt:lpwstr>
      </vt:variant>
      <vt:variant>
        <vt:lpwstr/>
      </vt:variant>
      <vt:variant>
        <vt:i4>3604492</vt:i4>
      </vt:variant>
      <vt:variant>
        <vt:i4>15</vt:i4>
      </vt:variant>
      <vt:variant>
        <vt:i4>0</vt:i4>
      </vt:variant>
      <vt:variant>
        <vt:i4>5</vt:i4>
      </vt:variant>
      <vt:variant>
        <vt:lpwstr>https://prevention.cancer.gov/sites/default/files/uploads/clinical_trial/DCP-Acronym-List.docx</vt:lpwstr>
      </vt:variant>
      <vt:variant>
        <vt:lpwstr/>
      </vt:variant>
      <vt:variant>
        <vt:i4>7077903</vt:i4>
      </vt:variant>
      <vt:variant>
        <vt:i4>12</vt:i4>
      </vt:variant>
      <vt:variant>
        <vt:i4>0</vt:i4>
      </vt:variant>
      <vt:variant>
        <vt:i4>5</vt:i4>
      </vt:variant>
      <vt:variant>
        <vt:lpwstr>mailto:nci_dcp_pio@mail.nih.gov</vt:lpwstr>
      </vt:variant>
      <vt:variant>
        <vt:lpwstr/>
      </vt:variant>
      <vt:variant>
        <vt:i4>6488112</vt:i4>
      </vt:variant>
      <vt:variant>
        <vt:i4>9</vt:i4>
      </vt:variant>
      <vt:variant>
        <vt:i4>0</vt:i4>
      </vt:variant>
      <vt:variant>
        <vt:i4>5</vt:i4>
      </vt:variant>
      <vt:variant>
        <vt:lpwstr>https://wiki.nci.nih.gov/display/CRF2/CRF+Harmonization+and+Standardization</vt:lpwstr>
      </vt:variant>
      <vt:variant>
        <vt:lpwstr/>
      </vt:variant>
      <vt:variant>
        <vt:i4>5046376</vt:i4>
      </vt:variant>
      <vt:variant>
        <vt:i4>6</vt:i4>
      </vt:variant>
      <vt:variant>
        <vt:i4>0</vt:i4>
      </vt:variant>
      <vt:variant>
        <vt:i4>5</vt:i4>
      </vt:variant>
      <vt:variant>
        <vt:lpwstr>https://prevention.cancer.gov/sites/default/files/uploads/clinical_trial/MDS-Instructions-Guidelines.doc</vt:lpwstr>
      </vt:variant>
      <vt:variant>
        <vt:lpwstr/>
      </vt:variant>
      <vt:variant>
        <vt:i4>3801130</vt:i4>
      </vt:variant>
      <vt:variant>
        <vt:i4>3</vt:i4>
      </vt:variant>
      <vt:variant>
        <vt:i4>0</vt:i4>
      </vt:variant>
      <vt:variant>
        <vt:i4>5</vt:i4>
      </vt:variant>
      <vt:variant>
        <vt:lpwstr>https://prevention.cancer.gov/sites/default/files/uploads/clinical_trial/DCPC2012_CRFCompletionGuide.doc</vt:lpwstr>
      </vt:variant>
      <vt:variant>
        <vt:lpwstr/>
      </vt:variant>
      <vt:variant>
        <vt:i4>5898327</vt:i4>
      </vt:variant>
      <vt:variant>
        <vt:i4>0</vt:i4>
      </vt:variant>
      <vt:variant>
        <vt:i4>0</vt:i4>
      </vt:variant>
      <vt:variant>
        <vt:i4>5</vt:i4>
      </vt:variant>
      <vt:variant>
        <vt:lpwstr>https://prevention.cancer.gov/sites/default/files/uploads/clinical_trial/DCPC2012_CRFTemplates.doc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dc:description/>
  <cp:lastModifiedBy>Randall, Wayne (NIH/NCI) [C]</cp:lastModifiedBy>
  <cp:revision>2</cp:revision>
  <cp:lastPrinted>2014-04-09T20:27:00Z</cp:lastPrinted>
  <dcterms:created xsi:type="dcterms:W3CDTF">2020-12-01T16:05:00Z</dcterms:created>
  <dcterms:modified xsi:type="dcterms:W3CDTF">2020-12-01T16:05:00Z</dcterms:modified>
</cp:coreProperties>
</file>